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48" w:name="X4cdbb7a3dab0f45a930ddd6c47464c29bd38dd5"/>
    <w:p>
      <w:pPr>
        <w:pStyle w:val="Heading1"/>
      </w:pPr>
      <w:r>
        <w:t xml:space="preserve">Folkehelseinstituttets rettslige grunnlag i norsk lov</w:t>
      </w:r>
    </w:p>
    <w:p>
      <w:pPr>
        <w:pStyle w:val="FirstParagraph"/>
      </w:pPr>
      <w:r>
        <w:rPr>
          <w:iCs/>
          <w:i/>
        </w:rPr>
        <w:t xml:space="preserve">Systematisk oversikt over lover og forskrifter som regulerer FHIs virksomhet</w:t>
      </w:r>
    </w:p>
    <w:p>
      <w:pPr>
        <w:pStyle w:val="BodyText"/>
      </w:pPr>
      <w:r>
        <w:rPr>
          <w:bCs/>
          <w:b/>
        </w:rPr>
        <w:t xml:space="preserve">Sist oppdatert:</w:t>
      </w:r>
      <w:r>
        <w:t xml:space="preserve"> </w:t>
      </w:r>
      <w:r>
        <w:t xml:space="preserve">Januar 2026</w:t>
      </w:r>
      <w:r>
        <w:br/>
      </w:r>
      <w:r>
        <w:rPr>
          <w:bCs/>
          <w:b/>
        </w:rPr>
        <w:t xml:space="preserve">Kilder:</w:t>
      </w:r>
      <w:r>
        <w:t xml:space="preserve"> </w:t>
      </w:r>
      <w:r>
        <w:t xml:space="preserve">Lovdata (offisielle lovtekster)</w:t>
      </w:r>
    </w:p>
    <w:p>
      <w:r>
        <w:pict>
          <v:rect style="width:0;height:1.5pt" o:hralign="center" o:hrstd="t" o:hr="t"/>
        </w:pict>
      </w:r>
    </w:p>
    <w:bookmarkStart w:id="20" w:name="innholdsfortegnelse"/>
    <w:p>
      <w:pPr>
        <w:pStyle w:val="Heading2"/>
      </w:pPr>
      <w:r>
        <w:t xml:space="preserve">Innholdsfortegnelse</w:t>
      </w:r>
    </w:p>
    <w:p>
      <w:pPr>
        <w:numPr>
          <w:ilvl w:val="0"/>
          <w:numId w:val="1001"/>
        </w:numPr>
        <w:pStyle w:val="Compact"/>
      </w:pPr>
      <w:hyperlink w:anchor="sammendrag">
        <w:r>
          <w:rPr>
            <w:rStyle w:val="Hyperlink"/>
          </w:rPr>
          <w:t xml:space="preserve">Sammendrag</w:t>
        </w:r>
      </w:hyperlink>
    </w:p>
    <w:p>
      <w:pPr>
        <w:numPr>
          <w:ilvl w:val="0"/>
          <w:numId w:val="1001"/>
        </w:numPr>
        <w:pStyle w:val="Compact"/>
      </w:pPr>
      <w:hyperlink w:anchor="primærlovgivning">
        <w:r>
          <w:rPr>
            <w:rStyle w:val="Hyperlink"/>
          </w:rPr>
          <w:t xml:space="preserve">Primærlovgivning</w:t>
        </w:r>
      </w:hyperlink>
    </w:p>
    <w:p>
      <w:pPr>
        <w:numPr>
          <w:ilvl w:val="1"/>
          <w:numId w:val="1002"/>
        </w:numPr>
        <w:pStyle w:val="Compact"/>
      </w:pPr>
      <w:hyperlink w:anchor="folkehelseloven">
        <w:r>
          <w:rPr>
            <w:rStyle w:val="Hyperlink"/>
          </w:rPr>
          <w:t xml:space="preserve">Folkehelseloven</w:t>
        </w:r>
      </w:hyperlink>
    </w:p>
    <w:p>
      <w:pPr>
        <w:numPr>
          <w:ilvl w:val="1"/>
          <w:numId w:val="1002"/>
        </w:numPr>
        <w:pStyle w:val="Compact"/>
      </w:pPr>
      <w:hyperlink w:anchor="smittevernloven">
        <w:r>
          <w:rPr>
            <w:rStyle w:val="Hyperlink"/>
          </w:rPr>
          <w:t xml:space="preserve">Smittevernloven</w:t>
        </w:r>
      </w:hyperlink>
    </w:p>
    <w:p>
      <w:pPr>
        <w:numPr>
          <w:ilvl w:val="1"/>
          <w:numId w:val="1002"/>
        </w:numPr>
        <w:pStyle w:val="Compact"/>
      </w:pPr>
      <w:hyperlink w:anchor="helseregisterloven">
        <w:r>
          <w:rPr>
            <w:rStyle w:val="Hyperlink"/>
          </w:rPr>
          <w:t xml:space="preserve">Helseregisterloven</w:t>
        </w:r>
      </w:hyperlink>
    </w:p>
    <w:p>
      <w:pPr>
        <w:numPr>
          <w:ilvl w:val="0"/>
          <w:numId w:val="1001"/>
        </w:numPr>
        <w:pStyle w:val="Compact"/>
      </w:pPr>
      <w:hyperlink w:anchor="helseregistre---fhi-som-dataansvarlig">
        <w:r>
          <w:rPr>
            <w:rStyle w:val="Hyperlink"/>
          </w:rPr>
          <w:t xml:space="preserve">Helseregistre - FHI som dataansvarlig</w:t>
        </w:r>
      </w:hyperlink>
    </w:p>
    <w:p>
      <w:pPr>
        <w:numPr>
          <w:ilvl w:val="0"/>
          <w:numId w:val="1001"/>
        </w:numPr>
        <w:pStyle w:val="Compact"/>
      </w:pPr>
      <w:hyperlink w:anchor="internasjonale-forpliktelser">
        <w:r>
          <w:rPr>
            <w:rStyle w:val="Hyperlink"/>
          </w:rPr>
          <w:t xml:space="preserve">Internasjonale forpliktelser</w:t>
        </w:r>
      </w:hyperlink>
    </w:p>
    <w:p>
      <w:pPr>
        <w:numPr>
          <w:ilvl w:val="0"/>
          <w:numId w:val="1001"/>
        </w:numPr>
        <w:pStyle w:val="Compact"/>
      </w:pPr>
      <w:hyperlink w:anchor="øvrige-hjemler">
        <w:r>
          <w:rPr>
            <w:rStyle w:val="Hyperlink"/>
          </w:rPr>
          <w:t xml:space="preserve">Øvrige hjemler</w:t>
        </w:r>
      </w:hyperlink>
    </w:p>
    <w:p>
      <w:r>
        <w:pict>
          <v:rect style="width:0;height:1.5pt" o:hralign="center" o:hrstd="t" o:hr="t"/>
        </w:pict>
      </w:r>
    </w:p>
    <w:bookmarkEnd w:id="20"/>
    <w:bookmarkStart w:id="21" w:name="sammendrag"/>
    <w:p>
      <w:pPr>
        <w:pStyle w:val="Heading2"/>
      </w:pPr>
      <w:r>
        <w:t xml:space="preserve">Sammendrag</w:t>
      </w:r>
    </w:p>
    <w:p>
      <w:pPr>
        <w:pStyle w:val="FirstParagraph"/>
      </w:pPr>
      <w:r>
        <w:t xml:space="preserve">Folkehelseinstituttet (FHI) har sitt rettslige grunnlag primært i tre lover:</w:t>
      </w:r>
    </w:p>
    <w:tbl>
      <w:tblPr>
        <w:tblStyle w:val="Table"/>
        <w:tblW w:type="pct" w:w="5000"/>
        <w:tblLook w:firstRow="1" w:lastRow="0" w:firstColumn="0" w:lastColumn="0" w:noHBand="0" w:noVBand="0" w:val="0020"/>
        <w:jc w:val="start"/>
      </w:tblPr>
      <w:tblGrid>
        <w:gridCol w:w="1131"/>
        <w:gridCol w:w="3168"/>
        <w:gridCol w:w="3620"/>
      </w:tblGrid>
      <w:tr>
        <w:trPr>
          <w:tblHeader w:val="true"/>
        </w:trPr>
        <w:tc>
          <w:tcPr/>
          <w:p>
            <w:pPr>
              <w:pStyle w:val="Compact"/>
              <w:jc w:val="left"/>
            </w:pPr>
            <w:r>
              <w:t xml:space="preserve">Lov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Hovedhjemmel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Kjerneoppgaver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Folkehelseloven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§ 25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Overvåking, rådgivning, beredskap, forskning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Smittevernloven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§§ 7-9, 7-10, 7-11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Smittevernberedskap, vaksinasjon, epidemiologisk overvåking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Helseregisterloven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§ 8-11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Dataansvar for sentrale helseregistre</w:t>
            </w:r>
          </w:p>
        </w:tc>
      </w:tr>
    </w:tbl>
    <w:p>
      <w:pPr>
        <w:pStyle w:val="BodyText"/>
      </w:pPr>
      <w:r>
        <w:t xml:space="preserve">FHI er</w:t>
      </w:r>
      <w:r>
        <w:t xml:space="preserve"> </w:t>
      </w:r>
      <w:r>
        <w:rPr>
          <w:bCs/>
          <w:b/>
        </w:rPr>
        <w:t xml:space="preserve">dataansvarlig</w:t>
      </w:r>
      <w:r>
        <w:t xml:space="preserve"> </w:t>
      </w:r>
      <w:r>
        <w:t xml:space="preserve">for 14+ sentrale helseregistre og har</w:t>
      </w:r>
      <w:r>
        <w:t xml:space="preserve"> </w:t>
      </w:r>
      <w:r>
        <w:rPr>
          <w:bCs/>
          <w:b/>
        </w:rPr>
        <w:t xml:space="preserve">nasjonalt ansvar</w:t>
      </w:r>
      <w:r>
        <w:t xml:space="preserve"> </w:t>
      </w:r>
      <w:r>
        <w:t xml:space="preserve">for smittevernberedskap og folkehelseovervåking.</w:t>
      </w:r>
    </w:p>
    <w:p>
      <w:r>
        <w:pict>
          <v:rect style="width:0;height:1.5pt" o:hralign="center" o:hrstd="t" o:hr="t"/>
        </w:pict>
      </w:r>
    </w:p>
    <w:bookmarkEnd w:id="21"/>
    <w:bookmarkStart w:id="30" w:name="primærlovgivning"/>
    <w:p>
      <w:pPr>
        <w:pStyle w:val="Heading2"/>
      </w:pPr>
      <w:r>
        <w:t xml:space="preserve">Primærlovgivning</w:t>
      </w:r>
    </w:p>
    <w:bookmarkStart w:id="23" w:name="folkehelseloven"/>
    <w:p>
      <w:pPr>
        <w:pStyle w:val="Heading3"/>
      </w:pPr>
      <w:r>
        <w:t xml:space="preserve">Folkehelseloven</w:t>
      </w:r>
    </w:p>
    <w:p>
      <w:pPr>
        <w:pStyle w:val="FirstParagraph"/>
      </w:pPr>
      <w:r>
        <w:rPr>
          <w:bCs/>
          <w:b/>
        </w:rPr>
        <w:t xml:space="preserve">Lov om folkehelsearbeid (folkehelseloven)</w:t>
      </w:r>
      <w:r>
        <w:br/>
      </w:r>
      <w:r>
        <w:rPr>
          <w:iCs/>
          <w:i/>
        </w:rPr>
        <w:t xml:space="preserve">LOV-2011-06-24-29</w:t>
      </w:r>
    </w:p>
    <w:bookmarkStart w:id="22" w:name="folkehelseinstituttets-oppgaver"/>
    <w:p>
      <w:pPr>
        <w:pStyle w:val="Heading4"/>
      </w:pPr>
      <w:r>
        <w:t xml:space="preserve">§ 25 - Folkehelseinstituttets oppgaver</w:t>
      </w:r>
    </w:p>
    <w:p>
      <w:pPr>
        <w:pStyle w:val="FirstParagraph"/>
      </w:pPr>
      <w:r>
        <w:rPr>
          <w:bCs/>
          <w:b/>
        </w:rPr>
        <w:t xml:space="preserve">Utdrag fra lovteksten:</w:t>
      </w:r>
      <w:r>
        <w:t xml:space="preserve"> </w:t>
      </w:r>
      <w:r>
        <w:t xml:space="preserve">&gt;</w:t>
      </w:r>
      <w:r>
        <w:t xml:space="preserve"> </w:t>
      </w:r>
      <w:r>
        <w:t xml:space="preserve">“</w:t>
      </w:r>
      <w:r>
        <w:t xml:space="preserve">Folkehelseinstituttet skal forske, oppsummere og formidle kunnskap innen folkehelseområdet. […]</w:t>
      </w:r>
      <w:r>
        <w:t xml:space="preserve"> </w:t>
      </w:r>
      <w:r>
        <w:t xml:space="preserve">&gt; Folkehelseinstituttet er statens smitteverninstitutt og har innen områdene smittevern og miljømedisin ansvar for overvåkning, råd og veiledning.</w:t>
      </w:r>
      <w:r>
        <w:t xml:space="preserve"> </w:t>
      </w:r>
      <w:r>
        <w:t xml:space="preserve">&gt; Folkehelseinstituttet skal i forbindelse med eksponering for helseskadelige miljøfaktorer bistå kommuner, fylkeskommuner, statsforvaltere og andre statlige institusjoner, helsepersonell og befolkningen for å sikre beskyttelse av befolkningens helse.</w:t>
      </w:r>
      <w:r>
        <w:t xml:space="preserve"> </w:t>
      </w:r>
      <w:r>
        <w:t xml:space="preserve">&gt; Folkehelseinstituttet har ansvar for nødvendige beredskapsforberedelser og for tiltak i beredskapssituasjoner.</w:t>
      </w:r>
      <w:r>
        <w:t xml:space="preserve">”</w:t>
      </w:r>
    </w:p>
    <w:p>
      <w:pPr>
        <w:pStyle w:val="BodyText"/>
      </w:pPr>
      <w:r>
        <w:t xml:space="preserve">Folkehelseinstituttet skal:</w:t>
      </w:r>
    </w:p>
    <w:tbl>
      <w:tblPr>
        <w:tblStyle w:val="Table"/>
        <w:tblW w:type="pct" w:w="5000"/>
        <w:tblLook w:firstRow="1" w:lastRow="0" w:firstColumn="0" w:lastColumn="0" w:noHBand="0" w:noVBand="0" w:val="0020"/>
        <w:jc w:val="start"/>
      </w:tblPr>
      <w:tblGrid>
        <w:gridCol w:w="3240"/>
        <w:gridCol w:w="4680"/>
      </w:tblGrid>
      <w:tr>
        <w:trPr>
          <w:tblHeader w:val="true"/>
        </w:trPr>
        <w:tc>
          <w:tcPr/>
          <w:p>
            <w:pPr>
              <w:pStyle w:val="Compact"/>
              <w:jc w:val="left"/>
            </w:pPr>
            <w:r>
              <w:t xml:space="preserve">Oppgave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Beskrivelse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Overvåke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Overvåke utviklingen av folkehelsen og faktorer som påvirker denne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Utrede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Utrede og forske på forhold som påvirker folkehelsen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Samle inn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Samle inn, bearbeide og formidle kunnskap for folkehelsearbeidet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Gi råd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Gi råd og veiledning til kommuner, fylkeskommuner og statlige institusjoner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Beredskap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Ha beredskap og bistå ved utbrudd av smittsomme sykdommer og andre kriser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Vaksinasjon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Sørge for nødvendig vaksineforsyning og vaksineberedskap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Internasjonalt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Delta i internasjonalt folkehelsearbeid</w:t>
            </w:r>
          </w:p>
        </w:tc>
      </w:tr>
    </w:tbl>
    <w:p>
      <w:pPr>
        <w:pStyle w:val="BodyText"/>
      </w:pPr>
      <w:r>
        <w:rPr>
          <w:bCs/>
          <w:b/>
        </w:rPr>
        <w:t xml:space="preserve">Hjemmel:</w:t>
      </w:r>
      <w:r>
        <w:t xml:space="preserve"> </w:t>
      </w:r>
      <w:r>
        <w:t xml:space="preserve">Folkehelseloven § 25</w:t>
      </w:r>
      <w:r>
        <w:br/>
      </w:r>
      <w:r>
        <w:rPr>
          <w:bCs/>
          <w:b/>
        </w:rPr>
        <w:t xml:space="preserve">Bemerkning:</w:t>
      </w:r>
      <w:r>
        <w:t xml:space="preserve"> </w:t>
      </w:r>
      <w:r>
        <w:t xml:space="preserve">Departementet kan i forskrift gi nærmere bestemmelser om Folkehelseinstituttets oppgaver.</w:t>
      </w:r>
    </w:p>
    <w:p>
      <w:r>
        <w:pict>
          <v:rect style="width:0;height:1.5pt" o:hralign="center" o:hrstd="t" o:hr="t"/>
        </w:pict>
      </w:r>
    </w:p>
    <w:bookmarkEnd w:id="22"/>
    <w:bookmarkEnd w:id="23"/>
    <w:bookmarkStart w:id="27" w:name="smittevernloven"/>
    <w:p>
      <w:pPr>
        <w:pStyle w:val="Heading3"/>
      </w:pPr>
      <w:r>
        <w:t xml:space="preserve">Smittevernloven</w:t>
      </w:r>
    </w:p>
    <w:p>
      <w:pPr>
        <w:pStyle w:val="FirstParagraph"/>
      </w:pPr>
      <w:r>
        <w:rPr>
          <w:bCs/>
          <w:b/>
        </w:rPr>
        <w:t xml:space="preserve">Lov om vern mot smittsomme sykdommer (smittevernloven)</w:t>
      </w:r>
      <w:r>
        <w:br/>
      </w:r>
      <w:r>
        <w:rPr>
          <w:iCs/>
          <w:i/>
        </w:rPr>
        <w:t xml:space="preserve">LOV-1994-08-05-55</w:t>
      </w:r>
    </w:p>
    <w:bookmarkStart w:id="24" w:name="folkehelseinstituttets-oppgaver-1"/>
    <w:p>
      <w:pPr>
        <w:pStyle w:val="Heading4"/>
      </w:pPr>
      <w:r>
        <w:t xml:space="preserve">§ 7-9 - Folkehelseinstituttets oppgaver</w:t>
      </w:r>
    </w:p>
    <w:p>
      <w:pPr>
        <w:pStyle w:val="FirstParagraph"/>
      </w:pPr>
      <w:r>
        <w:rPr>
          <w:bCs/>
          <w:b/>
        </w:rPr>
        <w:t xml:space="preserve">Utdrag fra lovteksten:</w:t>
      </w:r>
      <w:r>
        <w:t xml:space="preserve"> </w:t>
      </w:r>
      <w:r>
        <w:t xml:space="preserve">&gt;</w:t>
      </w:r>
      <w:r>
        <w:t xml:space="preserve"> </w:t>
      </w:r>
      <w:r>
        <w:t xml:space="preserve">“</w:t>
      </w:r>
      <w:r>
        <w:t xml:space="preserve">Folkehelseinstituttet er statens smitteverninstitutt. Folkehelseinstituttet skal overvåke den nasjonale epidemiologiske situasjonen og delta i overvåkingen av den internasjonale epidemiologiske situasjonen, utføre helseanalyser og drive forskning på smittevernområdet. […]</w:t>
      </w:r>
      <w:r>
        <w:t xml:space="preserve"> </w:t>
      </w:r>
      <w:r>
        <w:t xml:space="preserve">&gt; Folkehelseinstituttet skal gi smittevernfaglige råd og bistand til helsepersonell, kommuner, fylkeskommuner og statlige virksomheter i forbindelse med oppklaring og kontroll av utbrudd av smittsomme sykdommer.</w:t>
      </w:r>
      <w:r>
        <w:t xml:space="preserve">”</w:t>
      </w:r>
    </w:p>
    <w:p>
      <w:pPr>
        <w:pStyle w:val="BodyText"/>
      </w:pPr>
      <w:r>
        <w:t xml:space="preserve">Folkehelseinstituttet skal:</w:t>
      </w:r>
    </w:p>
    <w:tbl>
      <w:tblPr>
        <w:tblStyle w:val="Table"/>
        <w:tblW w:type="pct" w:w="5000"/>
        <w:tblLook w:firstRow="1" w:lastRow="0" w:firstColumn="0" w:lastColumn="0" w:noHBand="0" w:noVBand="0" w:val="0020"/>
        <w:jc w:val="start"/>
      </w:tblPr>
      <w:tblGrid>
        <w:gridCol w:w="3960"/>
        <w:gridCol w:w="3960"/>
      </w:tblGrid>
      <w:tr>
        <w:trPr>
          <w:tblHeader w:val="true"/>
        </w:trPr>
        <w:tc>
          <w:tcPr/>
          <w:p>
            <w:pPr>
              <w:pStyle w:val="Compact"/>
              <w:jc w:val="left"/>
            </w:pPr>
            <w:r>
              <w:t xml:space="preserve">Oppgave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Hjemmel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Overvåke den nasjonale og internasjonale epidemiologiske situasjonen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§ 7-9 første ledd bokstav a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Utføre helseanalyser og drive forskning på smittevernområdet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§ 7-9 første ledd bokstav b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Sikre nødvendig vaksineforsyning og vaksineberedskap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§ 7-9 første ledd bokstav c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Gi bistand, råd og veiledning til kommunale, fylkeskommunale og statlige institusjoner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§ 7-9 første ledd bokstav d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Gi informasjon til befolkningen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§ 7-9 første ledd bokstav e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Delta i internasjonalt smittevernarbeid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§ 7-9 første ledd bokstav f</w:t>
            </w:r>
          </w:p>
        </w:tc>
      </w:tr>
    </w:tbl>
    <w:p>
      <w:pPr>
        <w:pStyle w:val="BodyText"/>
      </w:pPr>
      <w:r>
        <w:rPr>
          <w:bCs/>
          <w:b/>
        </w:rPr>
        <w:t xml:space="preserve">Særlig om vaksinasjon:</w:t>
      </w:r>
      <w:r>
        <w:t xml:space="preserve"> </w:t>
      </w:r>
      <w:r>
        <w:t xml:space="preserve">FHI skal sørge for at det finnes et nasjonalt vaksinasjonsprogram og at det er tilgang på vaksiner som inngår i programmet.</w:t>
      </w:r>
    </w:p>
    <w:bookmarkEnd w:id="24"/>
    <w:bookmarkStart w:id="25" w:name="varslingsplikt-og-bistandsplikt"/>
    <w:p>
      <w:pPr>
        <w:pStyle w:val="Heading4"/>
      </w:pPr>
      <w:r>
        <w:t xml:space="preserve">§ 7-10 - Varslingsplikt og bistandsplikt</w:t>
      </w:r>
    </w:p>
    <w:p>
      <w:pPr>
        <w:numPr>
          <w:ilvl w:val="0"/>
          <w:numId w:val="1003"/>
        </w:numPr>
        <w:pStyle w:val="Compact"/>
      </w:pPr>
      <w:r>
        <w:t xml:space="preserve">Folkehelseinstituttet skal</w:t>
      </w:r>
      <w:r>
        <w:t xml:space="preserve"> </w:t>
      </w:r>
      <w:r>
        <w:rPr>
          <w:bCs/>
          <w:b/>
        </w:rPr>
        <w:t xml:space="preserve">varsles</w:t>
      </w:r>
      <w:r>
        <w:t xml:space="preserve"> </w:t>
      </w:r>
      <w:r>
        <w:t xml:space="preserve">om utbrudd av smittsomme sykdommer</w:t>
      </w:r>
    </w:p>
    <w:p>
      <w:pPr>
        <w:numPr>
          <w:ilvl w:val="0"/>
          <w:numId w:val="1003"/>
        </w:numPr>
        <w:pStyle w:val="Compact"/>
      </w:pPr>
      <w:r>
        <w:t xml:space="preserve">FHI har</w:t>
      </w:r>
      <w:r>
        <w:t xml:space="preserve"> </w:t>
      </w:r>
      <w:r>
        <w:rPr>
          <w:bCs/>
          <w:b/>
        </w:rPr>
        <w:t xml:space="preserve">bistandsplikt</w:t>
      </w:r>
      <w:r>
        <w:t xml:space="preserve"> </w:t>
      </w:r>
      <w:r>
        <w:t xml:space="preserve">overfor kommuner ved utbrudd</w:t>
      </w:r>
    </w:p>
    <w:p>
      <w:pPr>
        <w:numPr>
          <w:ilvl w:val="0"/>
          <w:numId w:val="1003"/>
        </w:numPr>
        <w:pStyle w:val="Compact"/>
      </w:pPr>
      <w:r>
        <w:t xml:space="preserve">FHI kan gi</w:t>
      </w:r>
      <w:r>
        <w:t xml:space="preserve"> </w:t>
      </w:r>
      <w:r>
        <w:rPr>
          <w:bCs/>
          <w:b/>
        </w:rPr>
        <w:t xml:space="preserve">pålegg</w:t>
      </w:r>
      <w:r>
        <w:t xml:space="preserve"> </w:t>
      </w:r>
      <w:r>
        <w:t xml:space="preserve">om tiltak ved alvorlige utbrudd</w:t>
      </w:r>
    </w:p>
    <w:bookmarkEnd w:id="25"/>
    <w:bookmarkStart w:id="26" w:name="nasjonalt-folkehelseinstitutt"/>
    <w:p>
      <w:pPr>
        <w:pStyle w:val="Heading4"/>
      </w:pPr>
      <w:r>
        <w:t xml:space="preserve">§ 7-11 - Nasjonalt folkehelseinstitutt</w:t>
      </w:r>
    </w:p>
    <w:p>
      <w:pPr>
        <w:pStyle w:val="FirstParagraph"/>
      </w:pPr>
      <w:r>
        <w:t xml:space="preserve">Bestemmelsen fastsetter FHIs organisatoriske rolle som statlig forvaltningsorgan under Helse- og omsorgsdepartementet.</w:t>
      </w:r>
    </w:p>
    <w:p>
      <w:r>
        <w:pict>
          <v:rect style="width:0;height:1.5pt" o:hralign="center" o:hrstd="t" o:hr="t"/>
        </w:pict>
      </w:r>
    </w:p>
    <w:bookmarkEnd w:id="26"/>
    <w:bookmarkEnd w:id="27"/>
    <w:bookmarkStart w:id="29" w:name="helseregisterloven"/>
    <w:p>
      <w:pPr>
        <w:pStyle w:val="Heading3"/>
      </w:pPr>
      <w:r>
        <w:t xml:space="preserve">Helseregisterloven</w:t>
      </w:r>
    </w:p>
    <w:p>
      <w:pPr>
        <w:pStyle w:val="FirstParagraph"/>
      </w:pPr>
      <w:r>
        <w:rPr>
          <w:bCs/>
          <w:b/>
        </w:rPr>
        <w:t xml:space="preserve">Lov om helseregistre og behandling av helseopplysninger (helseregisterloven)</w:t>
      </w:r>
      <w:r>
        <w:br/>
      </w:r>
      <w:r>
        <w:rPr>
          <w:iCs/>
          <w:i/>
        </w:rPr>
        <w:t xml:space="preserve">LOV-2014-06-20-43</w:t>
      </w:r>
    </w:p>
    <w:bookmarkStart w:id="28" w:name="relevante-bestemmelser"/>
    <w:p>
      <w:pPr>
        <w:pStyle w:val="Heading4"/>
      </w:pPr>
      <w:r>
        <w:t xml:space="preserve">Relevante bestemmelser</w:t>
      </w:r>
    </w:p>
    <w:p>
      <w:pPr>
        <w:pStyle w:val="FirstParagraph"/>
      </w:pPr>
      <w:r>
        <w:rPr>
          <w:bCs/>
          <w:b/>
        </w:rPr>
        <w:t xml:space="preserve">§ 11. Lovbestemte helseregistre</w:t>
      </w:r>
      <w:r>
        <w:t xml:space="preserve"> </w:t>
      </w:r>
      <w:r>
        <w:t xml:space="preserve">&gt;</w:t>
      </w:r>
      <w:r>
        <w:t xml:space="preserve"> </w:t>
      </w:r>
      <w:r>
        <w:t xml:space="preserve">“</w:t>
      </w:r>
      <w:r>
        <w:t xml:space="preserve">Kongen i statsråd kan […] gi forskrift om behandling av opplysninger i helseregistre der navn, fødselsnummer eller andre personidentifiserende kjennetegn skal kunne behandles uten samtykke fra den registrerte […]</w:t>
      </w:r>
      <w:r>
        <w:t xml:space="preserve"> </w:t>
      </w:r>
      <w:r>
        <w:t xml:space="preserve">&gt; Det kan gis forskrifter om følgende registre:</w:t>
      </w:r>
      <w:r>
        <w:t xml:space="preserve"> </w:t>
      </w:r>
      <w:r>
        <w:t xml:space="preserve">&gt; Dødsårsaksregisteret</w:t>
      </w:r>
      <w:r>
        <w:t xml:space="preserve"> </w:t>
      </w:r>
      <w:r>
        <w:t xml:space="preserve">&gt; Kreftregisteret</w:t>
      </w:r>
      <w:r>
        <w:t xml:space="preserve"> </w:t>
      </w:r>
      <w:r>
        <w:t xml:space="preserve">&gt; Medisinsk fødselsregister</w:t>
      </w:r>
      <w:r>
        <w:t xml:space="preserve"> </w:t>
      </w:r>
      <w:r>
        <w:t xml:space="preserve">&gt; Meldingssystem for smittsomme sykdommer (MSIS)</w:t>
      </w:r>
      <w:r>
        <w:t xml:space="preserve"> </w:t>
      </w:r>
      <w:r>
        <w:t xml:space="preserve">&gt; System for vaksinasjonskontroll (SYSVAK)</w:t>
      </w:r>
      <w:r>
        <w:t xml:space="preserve"> </w:t>
      </w:r>
      <w:r>
        <w:t xml:space="preserve">&gt; […]</w:t>
      </w:r>
      <w:r>
        <w:t xml:space="preserve">”</w:t>
      </w:r>
    </w:p>
    <w:tbl>
      <w:tblPr>
        <w:tblStyle w:val="Table"/>
        <w:tblW w:type="auto" w:w="0"/>
        <w:tblLook w:firstRow="1" w:lastRow="0" w:firstColumn="0" w:lastColumn="0" w:noHBand="0" w:noVBand="0" w:val="0020"/>
        <w:jc w:val="start"/>
      </w:tblPr>
      <w:tblGrid>
        <w:gridCol w:w="3960"/>
        <w:gridCol w:w="3960"/>
      </w:tblGrid>
      <w:tr>
        <w:trPr>
          <w:tblHeader w:val="true"/>
        </w:trPr>
        <w:tc>
          <w:tcPr/>
          <w:p>
            <w:pPr>
              <w:pStyle w:val="Compact"/>
              <w:jc w:val="left"/>
            </w:pPr>
            <w:r>
              <w:t xml:space="preserve">Paragraf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Innhold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§ 8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Hjemmel for sentrale helseregistre uten samtykke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§ 9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Krav til formål og nødvendighet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§ 10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Opplysninger som kan registreres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§ 11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Meldeplikt til helseregistre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§ 12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Innsynsrett for registrerte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§ 13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Dataansvarliges plikter</w:t>
            </w:r>
          </w:p>
        </w:tc>
      </w:tr>
    </w:tbl>
    <w:p>
      <w:pPr>
        <w:pStyle w:val="BodyText"/>
      </w:pPr>
      <w:r>
        <w:rPr>
          <w:bCs/>
          <w:b/>
        </w:rPr>
        <w:t xml:space="preserve">FHIs rolle:</w:t>
      </w:r>
      <w:r>
        <w:t xml:space="preserve"> </w:t>
      </w:r>
      <w:r>
        <w:t xml:space="preserve">Helseregisterloven gir hjemmel for de sentrale helseregistrene der FHI er dataansvarlig (se neste seksjon).</w:t>
      </w:r>
    </w:p>
    <w:p>
      <w:r>
        <w:pict>
          <v:rect style="width:0;height:1.5pt" o:hralign="center" o:hrstd="t" o:hr="t"/>
        </w:pict>
      </w:r>
    </w:p>
    <w:bookmarkEnd w:id="28"/>
    <w:bookmarkEnd w:id="29"/>
    <w:bookmarkEnd w:id="30"/>
    <w:bookmarkStart w:id="36" w:name="helseregistre---fhi-som-dataansvarlig"/>
    <w:p>
      <w:pPr>
        <w:pStyle w:val="Heading2"/>
      </w:pPr>
      <w:r>
        <w:t xml:space="preserve">Helseregistre - FHI som dataansvarlig</w:t>
      </w:r>
    </w:p>
    <w:p>
      <w:pPr>
        <w:pStyle w:val="FirstParagraph"/>
      </w:pPr>
      <w:r>
        <w:t xml:space="preserve">FHI er</w:t>
      </w:r>
      <w:r>
        <w:t xml:space="preserve"> </w:t>
      </w:r>
      <w:r>
        <w:rPr>
          <w:bCs/>
          <w:b/>
        </w:rPr>
        <w:t xml:space="preserve">dataansvarlig</w:t>
      </w:r>
      <w:r>
        <w:t xml:space="preserve"> </w:t>
      </w:r>
      <w:r>
        <w:t xml:space="preserve">for følgende sentrale helseregistre:</w:t>
      </w:r>
    </w:p>
    <w:bookmarkStart w:id="31" w:name="smittevern-og-infeksjonssykdommer"/>
    <w:p>
      <w:pPr>
        <w:pStyle w:val="Heading3"/>
      </w:pPr>
      <w:r>
        <w:t xml:space="preserve">Smittevern og infeksjonssykdommer</w:t>
      </w:r>
    </w:p>
    <w:tbl>
      <w:tblPr>
        <w:tblStyle w:val="Table"/>
        <w:tblW w:type="pct" w:w="5000"/>
        <w:tblLook w:firstRow="1" w:lastRow="0" w:firstColumn="0" w:lastColumn="0" w:noHBand="0" w:noVBand="0" w:val="0020"/>
        <w:jc w:val="start"/>
      </w:tblPr>
      <w:tblGrid>
        <w:gridCol w:w="2731"/>
        <w:gridCol w:w="3004"/>
        <w:gridCol w:w="2184"/>
      </w:tblGrid>
      <w:tr>
        <w:trPr>
          <w:tblHeader w:val="true"/>
        </w:trPr>
        <w:tc>
          <w:tcPr/>
          <w:p>
            <w:pPr>
              <w:pStyle w:val="Compact"/>
              <w:jc w:val="left"/>
            </w:pPr>
            <w:r>
              <w:t xml:space="preserve">Register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Forskrift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Formål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MSIS</w:t>
            </w:r>
            <w:r>
              <w:t xml:space="preserve"> </w:t>
            </w:r>
            <w:r>
              <w:t xml:space="preserve">(Meldingssystem for smittsomme sykdommer)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FOR-2003-06-20-740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Overvåke smittsomme sykdommer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SYSVAK</w:t>
            </w:r>
            <w:r>
              <w:t xml:space="preserve"> </w:t>
            </w:r>
            <w:r>
              <w:t xml:space="preserve">(Nasjonalt vaksinasjonsregister)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FOR-2003-06-20-739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Registrere vaksinasjoner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NORM/RAVN</w:t>
            </w:r>
            <w:r>
              <w:t xml:space="preserve"> </w:t>
            </w:r>
            <w:r>
              <w:t xml:space="preserve">(Resistensovervåking)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FOR-2003-11-14-1353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Overvåke antibiotikaresistens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NOIS</w:t>
            </w:r>
            <w:r>
              <w:t xml:space="preserve"> </w:t>
            </w:r>
            <w:r>
              <w:t xml:space="preserve">(Helsetjenesteassosierte infeksjoner)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FOR-2005-06-17-611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Overvåke sykehusinfeksjoner</w:t>
            </w:r>
          </w:p>
        </w:tc>
      </w:tr>
    </w:tbl>
    <w:bookmarkEnd w:id="31"/>
    <w:bookmarkStart w:id="32" w:name="befolkningsbaserte-registre"/>
    <w:p>
      <w:pPr>
        <w:pStyle w:val="Heading3"/>
      </w:pPr>
      <w:r>
        <w:t xml:space="preserve">Befolkningsbaserte registre</w:t>
      </w:r>
    </w:p>
    <w:tbl>
      <w:tblPr>
        <w:tblStyle w:val="Table"/>
        <w:tblW w:type="pct" w:w="5000"/>
        <w:tblLook w:firstRow="1" w:lastRow="0" w:firstColumn="0" w:lastColumn="0" w:noHBand="0" w:noVBand="0" w:val="0020"/>
        <w:jc w:val="start"/>
      </w:tblPr>
      <w:tblGrid>
        <w:gridCol w:w="2731"/>
        <w:gridCol w:w="3004"/>
        <w:gridCol w:w="2184"/>
      </w:tblGrid>
      <w:tr>
        <w:trPr>
          <w:tblHeader w:val="true"/>
        </w:trPr>
        <w:tc>
          <w:tcPr/>
          <w:p>
            <w:pPr>
              <w:pStyle w:val="Compact"/>
              <w:jc w:val="left"/>
            </w:pPr>
            <w:r>
              <w:t xml:space="preserve">Register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Forskrift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Formål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Dødsårsaksregisteret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FOR-2001-12-21-1476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Registrere dødsårsaker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Medisinsk fødselsregister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FOR-2001-12-21-1483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Overvåke fødsler og svangerskapsutfall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Kreftregisteret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FOR-2001-12-21-1477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Registrere krefttilfeller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Hjerte- og karregisteret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FOR-2011-12-16-1250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Overvåke hjerte- og karsykdommer</w:t>
            </w:r>
          </w:p>
        </w:tc>
      </w:tr>
    </w:tbl>
    <w:bookmarkEnd w:id="32"/>
    <w:bookmarkStart w:id="33" w:name="legemidler-og-behandling"/>
    <w:p>
      <w:pPr>
        <w:pStyle w:val="Heading3"/>
      </w:pPr>
      <w:r>
        <w:t xml:space="preserve">Legemidler og behandling</w:t>
      </w:r>
    </w:p>
    <w:tbl>
      <w:tblPr>
        <w:tblStyle w:val="Table"/>
        <w:tblW w:type="pct" w:w="5000"/>
        <w:tblLook w:firstRow="1" w:lastRow="0" w:firstColumn="0" w:lastColumn="0" w:noHBand="0" w:noVBand="0" w:val="0020"/>
        <w:jc w:val="start"/>
      </w:tblPr>
      <w:tblGrid>
        <w:gridCol w:w="2731"/>
        <w:gridCol w:w="3004"/>
        <w:gridCol w:w="2184"/>
      </w:tblGrid>
      <w:tr>
        <w:trPr>
          <w:tblHeader w:val="true"/>
        </w:trPr>
        <w:tc>
          <w:tcPr/>
          <w:p>
            <w:pPr>
              <w:pStyle w:val="Compact"/>
              <w:jc w:val="left"/>
            </w:pPr>
            <w:r>
              <w:t xml:space="preserve">Register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Forskrift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Formål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Reseptregisteret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FOR-2003-10-17-1246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Overvåke legemiddelbruk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Legemiddelregisteret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FOR-2021-03-26-969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Registrere legemiddelbruk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Abortregisteret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FOR-2007-12-14-1418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Registrere aborter</w:t>
            </w:r>
          </w:p>
        </w:tc>
      </w:tr>
    </w:tbl>
    <w:bookmarkEnd w:id="33"/>
    <w:bookmarkStart w:id="34" w:name="helsetjenester-og-omsorg"/>
    <w:p>
      <w:pPr>
        <w:pStyle w:val="Heading3"/>
      </w:pPr>
      <w:r>
        <w:t xml:space="preserve">Helsetjenester og omsorg</w:t>
      </w:r>
    </w:p>
    <w:tbl>
      <w:tblPr>
        <w:tblStyle w:val="Table"/>
        <w:tblW w:type="pct" w:w="5000"/>
        <w:tblLook w:firstRow="1" w:lastRow="0" w:firstColumn="0" w:lastColumn="0" w:noHBand="0" w:noVBand="0" w:val="0020"/>
        <w:jc w:val="start"/>
      </w:tblPr>
      <w:tblGrid>
        <w:gridCol w:w="2731"/>
        <w:gridCol w:w="3004"/>
        <w:gridCol w:w="2184"/>
      </w:tblGrid>
      <w:tr>
        <w:trPr>
          <w:tblHeader w:val="true"/>
        </w:trPr>
        <w:tc>
          <w:tcPr/>
          <w:p>
            <w:pPr>
              <w:pStyle w:val="Compact"/>
              <w:jc w:val="left"/>
            </w:pPr>
            <w:r>
              <w:t xml:space="preserve">Register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Forskrift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Formål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Norsk pasientregister (NPR)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FOR-2007-12-07-1389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Administrasjon og styring av spesialisthelsetjenesten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KPR</w:t>
            </w:r>
            <w:r>
              <w:t xml:space="preserve"> </w:t>
            </w:r>
            <w:r>
              <w:t xml:space="preserve">(Kommunalt pasient- og brukerregister)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FOR-2017-08-25-1292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Overvåke kommunale helse- og omsorgstjenester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IPLOS-registeret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FOR-2006-02-17-204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Statistikk om pleie- og omsorgstjenester</w:t>
            </w:r>
          </w:p>
        </w:tc>
      </w:tr>
    </w:tbl>
    <w:bookmarkEnd w:id="34"/>
    <w:bookmarkStart w:id="35" w:name="felles-kjennetegn-for-alle-registre"/>
    <w:p>
      <w:pPr>
        <w:pStyle w:val="Heading3"/>
      </w:pPr>
      <w:r>
        <w:t xml:space="preserve">Felles kjennetegn for alle registre</w:t>
      </w:r>
    </w:p>
    <w:p>
      <w:pPr>
        <w:pStyle w:val="FirstParagraph"/>
      </w:pPr>
      <w:r>
        <w:t xml:space="preserve">For alle registre der FHI er dataansvarlig gjelder:</w:t>
      </w:r>
    </w:p>
    <w:p>
      <w:pPr>
        <w:numPr>
          <w:ilvl w:val="0"/>
          <w:numId w:val="1004"/>
        </w:numPr>
        <w:pStyle w:val="Compact"/>
      </w:pPr>
      <w:r>
        <w:rPr>
          <w:bCs/>
          <w:b/>
        </w:rPr>
        <w:t xml:space="preserve">Behandling uten samtykke:</w:t>
      </w:r>
      <w:r>
        <w:t xml:space="preserve"> </w:t>
      </w:r>
      <w:r>
        <w:t xml:space="preserve">Opplysninger kan registreres uten den registrertes samtykke</w:t>
      </w:r>
    </w:p>
    <w:p>
      <w:pPr>
        <w:numPr>
          <w:ilvl w:val="0"/>
          <w:numId w:val="1004"/>
        </w:numPr>
        <w:pStyle w:val="Compact"/>
      </w:pPr>
      <w:r>
        <w:rPr>
          <w:bCs/>
          <w:b/>
        </w:rPr>
        <w:t xml:space="preserve">Meldeplikt:</w:t>
      </w:r>
      <w:r>
        <w:t xml:space="preserve"> </w:t>
      </w:r>
      <w:r>
        <w:t xml:space="preserve">Helsepersonell har plikt til å melde opplysninger</w:t>
      </w:r>
    </w:p>
    <w:p>
      <w:pPr>
        <w:numPr>
          <w:ilvl w:val="0"/>
          <w:numId w:val="1004"/>
        </w:numPr>
        <w:pStyle w:val="Compact"/>
      </w:pPr>
      <w:r>
        <w:rPr>
          <w:bCs/>
          <w:b/>
        </w:rPr>
        <w:t xml:space="preserve">Formålsbegrensning:</w:t>
      </w:r>
      <w:r>
        <w:t xml:space="preserve"> </w:t>
      </w:r>
      <w:r>
        <w:t xml:space="preserve">Opplysninger kan bare brukes til angitte formål</w:t>
      </w:r>
    </w:p>
    <w:p>
      <w:pPr>
        <w:numPr>
          <w:ilvl w:val="0"/>
          <w:numId w:val="1004"/>
        </w:numPr>
        <w:pStyle w:val="Compact"/>
      </w:pPr>
      <w:r>
        <w:rPr>
          <w:bCs/>
          <w:b/>
        </w:rPr>
        <w:t xml:space="preserve">Taushetsplikt:</w:t>
      </w:r>
      <w:r>
        <w:t xml:space="preserve"> </w:t>
      </w:r>
      <w:r>
        <w:t xml:space="preserve">Alle som behandler opplysninger har taushetsplikt</w:t>
      </w:r>
    </w:p>
    <w:p>
      <w:pPr>
        <w:numPr>
          <w:ilvl w:val="0"/>
          <w:numId w:val="1004"/>
        </w:numPr>
        <w:pStyle w:val="Compact"/>
      </w:pPr>
      <w:r>
        <w:rPr>
          <w:bCs/>
          <w:b/>
        </w:rPr>
        <w:t xml:space="preserve">Internkontroll:</w:t>
      </w:r>
      <w:r>
        <w:t xml:space="preserve"> </w:t>
      </w:r>
      <w:r>
        <w:t xml:space="preserve">FHI skal ha internkontrollsystem</w:t>
      </w:r>
    </w:p>
    <w:p>
      <w:pPr>
        <w:numPr>
          <w:ilvl w:val="0"/>
          <w:numId w:val="1004"/>
        </w:numPr>
        <w:pStyle w:val="Compact"/>
      </w:pPr>
      <w:r>
        <w:rPr>
          <w:bCs/>
          <w:b/>
        </w:rPr>
        <w:t xml:space="preserve">Bevaring:</w:t>
      </w:r>
      <w:r>
        <w:t xml:space="preserve"> </w:t>
      </w:r>
      <w:r>
        <w:t xml:space="preserve">Opplysninger bevares i ubegrenset tid (med unntak)</w:t>
      </w:r>
    </w:p>
    <w:p>
      <w:r>
        <w:pict>
          <v:rect style="width:0;height:1.5pt" o:hralign="center" o:hrstd="t" o:hr="t"/>
        </w:pict>
      </w:r>
    </w:p>
    <w:bookmarkEnd w:id="35"/>
    <w:bookmarkEnd w:id="36"/>
    <w:bookmarkStart w:id="39" w:name="internasjonale-forpliktelser"/>
    <w:p>
      <w:pPr>
        <w:pStyle w:val="Heading2"/>
      </w:pPr>
      <w:r>
        <w:t xml:space="preserve">Internasjonale forpliktelser</w:t>
      </w:r>
    </w:p>
    <w:bookmarkStart w:id="37" w:name="ihr-forskriften"/>
    <w:p>
      <w:pPr>
        <w:pStyle w:val="Heading3"/>
      </w:pPr>
      <w:r>
        <w:t xml:space="preserve">IHR-forskriften</w:t>
      </w:r>
    </w:p>
    <w:p>
      <w:pPr>
        <w:pStyle w:val="FirstParagraph"/>
      </w:pPr>
      <w:r>
        <w:rPr>
          <w:bCs/>
          <w:b/>
        </w:rPr>
        <w:t xml:space="preserve">Forskrift om varsling av og tiltak ved alvorlige hendelser av betydning for internasjonal folkehelse (IHR-forskriften)</w:t>
      </w:r>
      <w:r>
        <w:br/>
      </w:r>
      <w:r>
        <w:rPr>
          <w:iCs/>
          <w:i/>
        </w:rPr>
        <w:t xml:space="preserve">FOR-2007-12-21-1573</w:t>
      </w:r>
    </w:p>
    <w:tbl>
      <w:tblPr>
        <w:tblStyle w:val="Table"/>
        <w:tblW w:type="pct" w:w="5000"/>
        <w:tblLook w:firstRow="1" w:lastRow="0" w:firstColumn="0" w:lastColumn="0" w:noHBand="0" w:noVBand="0" w:val="0020"/>
        <w:jc w:val="start"/>
      </w:tblPr>
      <w:tblGrid>
        <w:gridCol w:w="2772"/>
        <w:gridCol w:w="5148"/>
      </w:tblGrid>
      <w:tr>
        <w:trPr>
          <w:tblHeader w:val="true"/>
        </w:trPr>
        <w:tc>
          <w:tcPr/>
          <w:p>
            <w:pPr>
              <w:pStyle w:val="Compact"/>
              <w:jc w:val="left"/>
            </w:pPr>
            <w:r>
              <w:t xml:space="preserve">Rolle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Beskrivelse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Nasjonalt kontaktpunkt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FHI er Norges nasjonale IHR-kontaktpunkt (National Focal Point)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Varsling til WHO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FHI varsler WHO om hendelser av internasjonal betydning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EWRS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FHI er nasjonalt kontaktpunkt for EUs Early Warning and Response System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24/7 beredskap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FHI skal være tilgjengelig døgnet rundt</w:t>
            </w:r>
          </w:p>
        </w:tc>
      </w:tr>
    </w:tbl>
    <w:p>
      <w:pPr>
        <w:pStyle w:val="BodyText"/>
      </w:pPr>
      <w:r>
        <w:rPr>
          <w:bCs/>
          <w:b/>
        </w:rPr>
        <w:t xml:space="preserve">§ 3. Nasjonalt kontaktpunkt for IHR og EWRS</w:t>
      </w:r>
      <w:r>
        <w:t xml:space="preserve"> </w:t>
      </w:r>
      <w:r>
        <w:t xml:space="preserve">&gt;</w:t>
      </w:r>
      <w:r>
        <w:t xml:space="preserve"> </w:t>
      </w:r>
      <w:r>
        <w:t xml:space="preserve">“</w:t>
      </w:r>
      <w:r>
        <w:t xml:space="preserve">Folkehelseinstituttet er nasjonalt kontaktpunkt for Internasjonalt helsereglement (IHR) og Kommisjonens varslingssystem (EWRS), og skal til enhver tid være tilgjengelig for kommunikasjon med Verdens helseorganisasjons IHR-kontaktpunkter, Kommisjonen og relevante myndigheter i Norge. Folkehelseinstituttet skal også være ansvarlig for å videreformidle informasjon fra Verdens helseorganisasjon og Kommisjonen til relevante myndigheter i Norge.</w:t>
      </w:r>
      <w:r>
        <w:t xml:space="preserve">”</w:t>
      </w:r>
    </w:p>
    <w:p>
      <w:pPr>
        <w:pStyle w:val="BodyText"/>
      </w:pPr>
      <w:r>
        <w:rPr>
          <w:bCs/>
          <w:b/>
        </w:rPr>
        <w:t xml:space="preserve">Hjemmel:</w:t>
      </w:r>
      <w:r>
        <w:t xml:space="preserve"> </w:t>
      </w:r>
      <w:r>
        <w:t xml:space="preserve">IHR-forskriften § 3</w:t>
      </w:r>
    </w:p>
    <w:bookmarkEnd w:id="37"/>
    <w:bookmarkStart w:id="38" w:name="eu-samarbeid"/>
    <w:p>
      <w:pPr>
        <w:pStyle w:val="Heading3"/>
      </w:pPr>
      <w:r>
        <w:t xml:space="preserve">EU-samarbeid</w:t>
      </w:r>
    </w:p>
    <w:p>
      <w:pPr>
        <w:pStyle w:val="FirstParagraph"/>
      </w:pPr>
      <w:r>
        <w:t xml:space="preserve">FHI rapporterer til:</w:t>
      </w:r>
      <w:r>
        <w:t xml:space="preserve"> </w:t>
      </w:r>
      <w:r>
        <w:t xml:space="preserve">-</w:t>
      </w:r>
      <w:r>
        <w:t xml:space="preserve"> </w:t>
      </w:r>
      <w:r>
        <w:rPr>
          <w:bCs/>
          <w:b/>
        </w:rPr>
        <w:t xml:space="preserve">ECDC</w:t>
      </w:r>
      <w:r>
        <w:t xml:space="preserve"> </w:t>
      </w:r>
      <w:r>
        <w:t xml:space="preserve">(European Centre for Disease Prevention and Control)</w:t>
      </w:r>
      <w:r>
        <w:t xml:space="preserve"> </w:t>
      </w:r>
      <w:r>
        <w:t xml:space="preserve">-</w:t>
      </w:r>
      <w:r>
        <w:t xml:space="preserve"> </w:t>
      </w:r>
      <w:r>
        <w:rPr>
          <w:bCs/>
          <w:b/>
        </w:rPr>
        <w:t xml:space="preserve">EMCDDA</w:t>
      </w:r>
      <w:r>
        <w:t xml:space="preserve"> </w:t>
      </w:r>
      <w:r>
        <w:t xml:space="preserve">(European Monitoring Centre for Drugs and Drug Addiction)</w:t>
      </w:r>
      <w:r>
        <w:t xml:space="preserve"> </w:t>
      </w:r>
      <w:r>
        <w:t xml:space="preserve">-</w:t>
      </w:r>
      <w:r>
        <w:t xml:space="preserve"> </w:t>
      </w:r>
      <w:r>
        <w:rPr>
          <w:bCs/>
          <w:b/>
        </w:rPr>
        <w:t xml:space="preserve">EU-kommisjonen</w:t>
      </w:r>
      <w:r>
        <w:t xml:space="preserve"> </w:t>
      </w:r>
      <w:r>
        <w:t xml:space="preserve">(via EWRS og andre varslingssystemer)</w:t>
      </w:r>
    </w:p>
    <w:p>
      <w:r>
        <w:pict>
          <v:rect style="width:0;height:1.5pt" o:hralign="center" o:hrstd="t" o:hr="t"/>
        </w:pict>
      </w:r>
    </w:p>
    <w:bookmarkEnd w:id="38"/>
    <w:bookmarkEnd w:id="39"/>
    <w:bookmarkStart w:id="43" w:name="øvrige-hjemler"/>
    <w:p>
      <w:pPr>
        <w:pStyle w:val="Heading2"/>
      </w:pPr>
      <w:r>
        <w:t xml:space="preserve">Øvrige hjemler</w:t>
      </w:r>
    </w:p>
    <w:bookmarkStart w:id="40" w:name="forskrift-om-smittevern-i-helsetjenesten"/>
    <w:p>
      <w:pPr>
        <w:pStyle w:val="Heading3"/>
      </w:pPr>
      <w:r>
        <w:t xml:space="preserve">Forskrift om smittevern i helsetjenesten</w:t>
      </w:r>
    </w:p>
    <w:p>
      <w:pPr>
        <w:pStyle w:val="FirstParagraph"/>
      </w:pPr>
      <w:r>
        <w:rPr>
          <w:iCs/>
          <w:i/>
        </w:rPr>
        <w:t xml:space="preserve">FOR-2005-06-17-610</w:t>
      </w:r>
    </w:p>
    <w:p>
      <w:pPr>
        <w:pStyle w:val="BodyText"/>
      </w:pPr>
      <w:r>
        <w:t xml:space="preserve">FHI har</w:t>
      </w:r>
      <w:r>
        <w:t xml:space="preserve"> </w:t>
      </w:r>
      <w:r>
        <w:rPr>
          <w:bCs/>
          <w:b/>
        </w:rPr>
        <w:t xml:space="preserve">koordineringsoppgaver</w:t>
      </w:r>
      <w:r>
        <w:t xml:space="preserve"> </w:t>
      </w:r>
      <w:r>
        <w:t xml:space="preserve">for nasjonal overvåking, veiledning og retningslinjer.</w:t>
      </w:r>
    </w:p>
    <w:p>
      <w:pPr>
        <w:pStyle w:val="BodyText"/>
      </w:pPr>
      <w:r>
        <w:rPr>
          <w:bCs/>
          <w:b/>
        </w:rPr>
        <w:t xml:space="preserve">§ 3-3. Folkehelseinstituttet</w:t>
      </w:r>
      <w:r>
        <w:t xml:space="preserve"> </w:t>
      </w:r>
      <w:r>
        <w:t xml:space="preserve">&gt;</w:t>
      </w:r>
      <w:r>
        <w:t xml:space="preserve"> </w:t>
      </w:r>
      <w:r>
        <w:t xml:space="preserve">“</w:t>
      </w:r>
      <w:r>
        <w:t xml:space="preserve">Folkehelseinstituttet skal holde oversikt over og samordne overvåking av infeksjoner i institusjoner i landet […]</w:t>
      </w:r>
      <w:r>
        <w:t xml:space="preserve"> </w:t>
      </w:r>
      <w:r>
        <w:t xml:space="preserve">&gt; Folkehelseinstituttet skal bidra til å samordne smittevernarbeidet nasjonalt og stimulere til fagutvikling, tilby assistanse ved oppklaring av utbrudd, […] samordne utarbeiding av faglige veiledere og retningslinjer for smittevernarbeidet etter denne forskriften, koordinere undersøkelser der flere virksomheter deltar […]</w:t>
      </w:r>
      <w:r>
        <w:t xml:space="preserve">”</w:t>
      </w:r>
    </w:p>
    <w:bookmarkEnd w:id="40"/>
    <w:bookmarkStart w:id="41" w:name="helseberedskapsloven"/>
    <w:p>
      <w:pPr>
        <w:pStyle w:val="Heading3"/>
      </w:pPr>
      <w:r>
        <w:t xml:space="preserve">Helseberedskapsloven</w:t>
      </w:r>
    </w:p>
    <w:p>
      <w:pPr>
        <w:pStyle w:val="FirstParagraph"/>
      </w:pPr>
      <w:r>
        <w:rPr>
          <w:iCs/>
          <w:i/>
        </w:rPr>
        <w:t xml:space="preserve">LOV-2000-06-23-56</w:t>
      </w:r>
    </w:p>
    <w:p>
      <w:pPr>
        <w:pStyle w:val="BodyText"/>
      </w:pPr>
      <w:r>
        <w:rPr>
          <w:bCs/>
          <w:b/>
        </w:rPr>
        <w:t xml:space="preserve">§ 2-4. Beredskapsregistre</w:t>
      </w:r>
      <w:r>
        <w:t xml:space="preserve"> </w:t>
      </w:r>
      <w:r>
        <w:t xml:space="preserve">&gt;</w:t>
      </w:r>
      <w:r>
        <w:t xml:space="preserve"> </w:t>
      </w:r>
      <w:r>
        <w:t xml:space="preserve">“</w:t>
      </w:r>
      <w:r>
        <w:t xml:space="preserve">Folkehelseinstituttet, Helsedirektoratet og Direktoratet for strålevern og atomsikkerhet kan etablere registre med helseopplysninger for å håndtere beredskapssituasjoner. Slike registre kan etableres for å gi oversikt og kunnskap om utbredelse, årsakssammenhenger og konsekvenser ved miljøhendelser, ved mistanke om utbrudd av sykdom relatert til eksponering for helseskadelige miljøfaktorer og ved andre typer kriser og beredskapssituasjoner.</w:t>
      </w:r>
      <w:r>
        <w:t xml:space="preserve">”</w:t>
      </w:r>
    </w:p>
    <w:bookmarkEnd w:id="41"/>
    <w:bookmarkStart w:id="42" w:name="biobankloven-og-msis-forskriften"/>
    <w:p>
      <w:pPr>
        <w:pStyle w:val="Heading3"/>
      </w:pPr>
      <w:r>
        <w:t xml:space="preserve">Biobankloven og MSIS-forskriften</w:t>
      </w:r>
    </w:p>
    <w:p>
      <w:pPr>
        <w:pStyle w:val="FirstParagraph"/>
      </w:pPr>
      <w:r>
        <w:rPr>
          <w:iCs/>
          <w:i/>
        </w:rPr>
        <w:t xml:space="preserve">LOV-2003-02-21-12</w:t>
      </w:r>
    </w:p>
    <w:p>
      <w:pPr>
        <w:pStyle w:val="BodyText"/>
      </w:pPr>
      <w:r>
        <w:rPr>
          <w:bCs/>
          <w:b/>
        </w:rPr>
        <w:t xml:space="preserve">MSIS-forskriften § 1-5 og § 1-8a</w:t>
      </w:r>
      <w:r>
        <w:t xml:space="preserve"> </w:t>
      </w:r>
      <w:r>
        <w:t xml:space="preserve">&gt;</w:t>
      </w:r>
      <w:r>
        <w:t xml:space="preserve"> </w:t>
      </w:r>
      <w:r>
        <w:t xml:space="preserve">“</w:t>
      </w:r>
      <w:r>
        <w:t xml:space="preserve">Folkehelseinstituttet er ansvarlig for innsamling og behandling av biologisk materiale i biobanker tilknyttet MSIS i henhold til § 1-8a.</w:t>
      </w:r>
      <w:r>
        <w:t xml:space="preserve">”</w:t>
      </w:r>
      <w:r>
        <w:t xml:space="preserve"> </w:t>
      </w:r>
      <w:r>
        <w:t xml:space="preserve">&gt;</w:t>
      </w:r>
      <w:r>
        <w:t xml:space="preserve"> </w:t>
      </w:r>
      <w:r>
        <w:t xml:space="preserve">“</w:t>
      </w:r>
      <w:r>
        <w:t xml:space="preserve">MSIS-registeret kan være tilknyttet biobank med humant biologisk materiale som er nødvendig for å ivareta registerets formål […]</w:t>
      </w:r>
      <w:r>
        <w:t xml:space="preserve">”</w:t>
      </w:r>
    </w:p>
    <w:p>
      <w:r>
        <w:pict>
          <v:rect style="width:0;height:1.5pt" o:hralign="center" o:hrstd="t" o:hr="t"/>
        </w:pict>
      </w:r>
    </w:p>
    <w:bookmarkEnd w:id="42"/>
    <w:bookmarkEnd w:id="43"/>
    <w:bookmarkStart w:id="46" w:name="oppsummering---fhis-lovpålagte-oppgaver"/>
    <w:p>
      <w:pPr>
        <w:pStyle w:val="Heading2"/>
      </w:pPr>
      <w:r>
        <w:t xml:space="preserve">Oppsummering - FHIs lovpålagte oppgaver</w:t>
      </w:r>
    </w:p>
    <w:bookmarkStart w:id="44" w:name="plikter-skal"/>
    <w:p>
      <w:pPr>
        <w:pStyle w:val="Heading3"/>
      </w:pPr>
      <w:r>
        <w:t xml:space="preserve">Plikter (skal)</w:t>
      </w:r>
    </w:p>
    <w:p>
      <w:pPr>
        <w:numPr>
          <w:ilvl w:val="0"/>
          <w:numId w:val="1005"/>
        </w:numPr>
        <w:pStyle w:val="Compact"/>
      </w:pPr>
      <w:r>
        <w:t xml:space="preserve">Overvåke folkehelsen og smittesituasjonen</w:t>
      </w:r>
    </w:p>
    <w:p>
      <w:pPr>
        <w:numPr>
          <w:ilvl w:val="0"/>
          <w:numId w:val="1005"/>
        </w:numPr>
        <w:pStyle w:val="Compact"/>
      </w:pPr>
      <w:r>
        <w:t xml:space="preserve">Drive forskning på folkehelseområdet</w:t>
      </w:r>
    </w:p>
    <w:p>
      <w:pPr>
        <w:numPr>
          <w:ilvl w:val="0"/>
          <w:numId w:val="1005"/>
        </w:numPr>
        <w:pStyle w:val="Compact"/>
      </w:pPr>
      <w:r>
        <w:t xml:space="preserve">Gi råd og veiledning til myndigheter og befolkning</w:t>
      </w:r>
    </w:p>
    <w:p>
      <w:pPr>
        <w:numPr>
          <w:ilvl w:val="0"/>
          <w:numId w:val="1005"/>
        </w:numPr>
        <w:pStyle w:val="Compact"/>
      </w:pPr>
      <w:r>
        <w:t xml:space="preserve">Sikre vaksineforsyning og vaksineberedskap</w:t>
      </w:r>
    </w:p>
    <w:p>
      <w:pPr>
        <w:numPr>
          <w:ilvl w:val="0"/>
          <w:numId w:val="1005"/>
        </w:numPr>
        <w:pStyle w:val="Compact"/>
      </w:pPr>
      <w:r>
        <w:t xml:space="preserve">Ha beredskap ved utbrudd og kriser</w:t>
      </w:r>
    </w:p>
    <w:p>
      <w:pPr>
        <w:numPr>
          <w:ilvl w:val="0"/>
          <w:numId w:val="1005"/>
        </w:numPr>
        <w:pStyle w:val="Compact"/>
      </w:pPr>
      <w:r>
        <w:t xml:space="preserve">Være nasjonalt kontaktpunkt for IHR og EWRS</w:t>
      </w:r>
    </w:p>
    <w:p>
      <w:pPr>
        <w:numPr>
          <w:ilvl w:val="0"/>
          <w:numId w:val="1005"/>
        </w:numPr>
        <w:pStyle w:val="Compact"/>
      </w:pPr>
      <w:r>
        <w:t xml:space="preserve">Forvalte sentrale helseregistre</w:t>
      </w:r>
    </w:p>
    <w:p>
      <w:pPr>
        <w:numPr>
          <w:ilvl w:val="0"/>
          <w:numId w:val="1005"/>
        </w:numPr>
        <w:pStyle w:val="Compact"/>
      </w:pPr>
      <w:r>
        <w:t xml:space="preserve">Rapportere til internasjonale organer</w:t>
      </w:r>
    </w:p>
    <w:bookmarkEnd w:id="44"/>
    <w:bookmarkStart w:id="45" w:name="fullmakter-kan"/>
    <w:p>
      <w:pPr>
        <w:pStyle w:val="Heading3"/>
      </w:pPr>
      <w:r>
        <w:t xml:space="preserve">Fullmakter (kan)</w:t>
      </w:r>
    </w:p>
    <w:p>
      <w:pPr>
        <w:numPr>
          <w:ilvl w:val="0"/>
          <w:numId w:val="1006"/>
        </w:numPr>
        <w:pStyle w:val="Compact"/>
      </w:pPr>
      <w:r>
        <w:t xml:space="preserve">Behandle helseopplysninger uten samtykke (i registrene)</w:t>
      </w:r>
    </w:p>
    <w:p>
      <w:pPr>
        <w:numPr>
          <w:ilvl w:val="0"/>
          <w:numId w:val="1006"/>
        </w:numPr>
        <w:pStyle w:val="Compact"/>
      </w:pPr>
      <w:r>
        <w:t xml:space="preserve">Gi pålegg om tiltak ved alvorlige utbrudd</w:t>
      </w:r>
    </w:p>
    <w:p>
      <w:pPr>
        <w:numPr>
          <w:ilvl w:val="0"/>
          <w:numId w:val="1006"/>
        </w:numPr>
        <w:pStyle w:val="Compact"/>
      </w:pPr>
      <w:r>
        <w:t xml:space="preserve">Etablere beredskapsregistre ved kriser</w:t>
      </w:r>
    </w:p>
    <w:p>
      <w:pPr>
        <w:numPr>
          <w:ilvl w:val="0"/>
          <w:numId w:val="1006"/>
        </w:numPr>
        <w:pStyle w:val="Compact"/>
      </w:pPr>
      <w:r>
        <w:t xml:space="preserve">Sammenstille data fra ulike registre for forskning</w:t>
      </w:r>
    </w:p>
    <w:p>
      <w:r>
        <w:pict>
          <v:rect style="width:0;height:1.5pt" o:hralign="center" o:hrstd="t" o:hr="t"/>
        </w:pict>
      </w:r>
    </w:p>
    <w:bookmarkEnd w:id="45"/>
    <w:bookmarkEnd w:id="46"/>
    <w:bookmarkStart w:id="47" w:name="kilder"/>
    <w:p>
      <w:pPr>
        <w:pStyle w:val="Heading2"/>
      </w:pPr>
      <w:r>
        <w:t xml:space="preserve">Kilder</w:t>
      </w:r>
    </w:p>
    <w:p>
      <w:pPr>
        <w:pStyle w:val="FirstParagraph"/>
      </w:pPr>
      <w:r>
        <w:t xml:space="preserve">Alle lovhenvisninger er hentet fra Lovdata og er gjeldende per januar 2026.</w:t>
      </w:r>
    </w:p>
    <w:tbl>
      <w:tblPr>
        <w:tblStyle w:val="Table"/>
        <w:tblW w:type="auto" w:w="0"/>
        <w:tblLook w:firstRow="1" w:lastRow="0" w:firstColumn="0" w:lastColumn="0" w:noHBand="0" w:noVBand="0" w:val="0020"/>
        <w:jc w:val="start"/>
      </w:tblPr>
      <w:tblGrid>
        <w:gridCol w:w="3960"/>
        <w:gridCol w:w="3960"/>
      </w:tblGrid>
      <w:tr>
        <w:trPr>
          <w:tblHeader w:val="true"/>
        </w:trPr>
        <w:tc>
          <w:tcPr/>
          <w:p>
            <w:pPr>
              <w:pStyle w:val="Compact"/>
              <w:jc w:val="left"/>
            </w:pPr>
            <w:r>
              <w:t xml:space="preserve">Kilde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Dokument-ID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Folkehelseloven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NL/lov/2011-06-24-29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Smittevernloven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NL/lov/1994-08-05-55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Helseregisterloven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NL/lov/2014-06-20-43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MSIS-forskriften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SF/forskrift/2003-06-20-740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SYSVAK-forskriften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SF/forskrift/2003-06-20-739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Dødsårsaksregisterforskriften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SF/forskrift/2001-12-21-1476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IHR-forskriften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SF/forskrift/2007-12-21-1573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Kreftregisterforskriften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SF/forskrift/2001-12-21-1477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Medisinsk fødselsregisterforskriften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SF/forskrift/2001-12-21-1483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Reseptregisterforskriften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SF/forskrift/2003-10-17-1246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Resistensregisterforskriften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SF/forskrift/2003-11-14-1353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NOIS-registerforskriften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SF/forskrift/2005-06-17-611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Hjerte- og karregisterforskriften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SF/forskrift/2011-12-16-1250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Norsk pasientregisterforskriften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SF/forskrift/2007-12-07-1389</w:t>
            </w:r>
          </w:p>
        </w:tc>
      </w:tr>
    </w:tbl>
    <w:bookmarkEnd w:id="47"/>
    <w:bookmarkEnd w:id="48"/>
    <w:sectPr/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99411">
    <w:nsid w:val="A99411"/>
    <w:multiLevelType w:val="multilevel"/>
    <w:lvl w:ilvl="0">
      <w:start w:val="1"/>
      <w:numFmt w:val="decimal"/>
      <w:lvlText w:val="%1."/>
      <w:lvlJc w:val="left"/>
      <w:pPr>
        <w:ind w:left="720" w:hanging="480"/>
      </w:pPr>
    </w:lvl>
    <w:lvl w:ilvl="1">
      <w:start w:val="1"/>
      <w:numFmt w:val="decimal"/>
      <w:lvlText w:val="%2."/>
      <w:lvlJc w:val="left"/>
      <w:pPr>
        <w:ind w:left="1440" w:hanging="480"/>
      </w:pPr>
    </w:lvl>
    <w:lvl w:ilvl="2">
      <w:start w:val="1"/>
      <w:numFmt w:val="decimal"/>
      <w:lvlText w:val="%3."/>
      <w:lvlJc w:val="left"/>
      <w:pPr>
        <w:ind w:left="2160" w:hanging="480"/>
      </w:pPr>
    </w:lvl>
    <w:lvl w:ilvl="3">
      <w:start w:val="1"/>
      <w:numFmt w:val="decimal"/>
      <w:lvlText w:val="%4."/>
      <w:lvlJc w:val="left"/>
      <w:pPr>
        <w:ind w:left="2880" w:hanging="480"/>
      </w:pPr>
    </w:lvl>
    <w:lvl w:ilvl="4">
      <w:start w:val="1"/>
      <w:numFmt w:val="decimal"/>
      <w:lvlText w:val="%5."/>
      <w:lvlJc w:val="left"/>
      <w:pPr>
        <w:ind w:left="3600" w:hanging="480"/>
      </w:pPr>
    </w:lvl>
    <w:lvl w:ilvl="5">
      <w:start w:val="1"/>
      <w:numFmt w:val="decimal"/>
      <w:lvlText w:val="%6."/>
      <w:lvlJc w:val="left"/>
      <w:pPr>
        <w:ind w:left="4320" w:hanging="480"/>
      </w:pPr>
    </w:lvl>
    <w:lvl w:ilvl="6">
      <w:start w:val="1"/>
      <w:numFmt w:val="decimal"/>
      <w:lvlText w:val="%7."/>
      <w:lvlJc w:val="left"/>
      <w:pPr>
        <w:ind w:left="5040" w:hanging="480"/>
      </w:pPr>
    </w:lvl>
    <w:lvl w:ilvl="7">
      <w:start w:val="1"/>
      <w:numFmt w:val="decimal"/>
      <w:lvlText w:val="%8."/>
      <w:lvlJc w:val="left"/>
      <w:pPr>
        <w:ind w:left="5760" w:hanging="480"/>
      </w:pPr>
    </w:lvl>
    <w:lvl w:ilvl="8">
      <w:start w:val="1"/>
      <w:numFmt w:val="decimal"/>
      <w:lvlText w:val="%9."/>
      <w:lvlJc w:val="left"/>
      <w:pPr>
        <w:ind w:left="6480" w:hanging="480"/>
      </w:pPr>
    </w:lvl>
  </w:abstractNum>
  <w:abstractNum w:abstractNumId="991">
    <w:nsid w:val="A991"/>
    <w:multiLevelType w:val="multilevel"/>
    <w:lvl w:ilvl="0">
      <w:numFmt w:val="bullet"/>
      <w:lvlText w:val="•"/>
      <w:lvlJc w:val="left"/>
      <w:pPr>
        <w:ind w:left="720" w:hanging="480"/>
      </w:pPr>
    </w:lvl>
    <w:lvl w:ilvl="1">
      <w:numFmt w:val="bullet"/>
      <w:lvlText w:val="–"/>
      <w:lvlJc w:val="left"/>
      <w:pPr>
        <w:ind w:left="1440" w:hanging="480"/>
      </w:pPr>
    </w:lvl>
    <w:lvl w:ilvl="2">
      <w:numFmt w:val="bullet"/>
      <w:lvlText w:val="•"/>
      <w:lvlJc w:val="left"/>
      <w:pPr>
        <w:ind w:left="2160" w:hanging="480"/>
      </w:pPr>
    </w:lvl>
    <w:lvl w:ilvl="3">
      <w:numFmt w:val="bullet"/>
      <w:lvlText w:val="–"/>
      <w:lvlJc w:val="left"/>
      <w:pPr>
        <w:ind w:left="2880" w:hanging="480"/>
      </w:pPr>
    </w:lvl>
    <w:lvl w:ilvl="4">
      <w:numFmt w:val="bullet"/>
      <w:lvlText w:val="•"/>
      <w:lvlJc w:val="left"/>
      <w:pPr>
        <w:ind w:left="3600" w:hanging="480"/>
      </w:pPr>
    </w:lvl>
    <w:lvl w:ilvl="5">
      <w:numFmt w:val="bullet"/>
      <w:lvlText w:val="–"/>
      <w:lvlJc w:val="left"/>
      <w:pPr>
        <w:ind w:left="4320" w:hanging="480"/>
      </w:pPr>
    </w:lvl>
    <w:lvl w:ilvl="6">
      <w:numFmt w:val="bullet"/>
      <w:lvlText w:val="•"/>
      <w:lvlJc w:val="left"/>
      <w:pPr>
        <w:ind w:left="5040" w:hanging="480"/>
      </w:pPr>
    </w:lvl>
    <w:lvl w:ilvl="7">
      <w:numFmt w:val="bullet"/>
      <w:lvlText w:val="–"/>
      <w:lvlJc w:val="left"/>
      <w:pPr>
        <w:ind w:left="5760" w:hanging="480"/>
      </w:pPr>
    </w:lvl>
    <w:lvl w:ilvl="8">
      <w:numFmt w:val="bullet"/>
      <w:lvlText w:val="•"/>
      <w:lvlJc w:val="left"/>
      <w:pPr>
        <w:ind w:left="6480" w:hanging="480"/>
      </w:pPr>
    </w:lvl>
  </w:abstractNum>
  <w:num w:numId="1000">
    <w:abstractNumId w:val="990"/>
  </w:num>
  <w:num w:numId="1001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6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stylePaneFormatFilter w:val="0004"/>
  <w:footnotePr>
    <w:footnote w:id="-1"/>
    <w:footnote w:id="0"/>
  </w:footnotePr>
  <w:rsids>
  </w:rsids>
  <w:clrSchemeMapping w:accent1="accent1" w:accent2="accent2" w:accent3="accent3" w:accent4="accent4" w:accent5="accent5" w:accent6="accent6" w:bg1="light1" w:bg2="light2" w:followedHyperlink="followedHyperlink" w:hyperlink="hyperlink" w:t1="dark1" w:t2="dark2"/>
  <w:zoom w:percent="100"/>
  <w:embedSystemFonts/>
  <w:proofState w:grammar="clean" w:spelling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m:mathPr>
    <m:mathFont m:val="Cambria Math"/>
    <m:brkBin m:val="before"/>
    <m:brkBinSub m:val="--"/>
    <m:smallFrac m:val="0"/>
    <m:dispDef/>
    <m:lMargin m:val="0"/>
    <m:rMargin m:val="0"/>
    <m:wrapRight/>
    <m:intLim m:val="subSup"/>
    <m:naryLim m:val="undOvr"/>
  </m:mathPr>
  <w:themeFontLang w:val="en-US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pPr>
      <w:spacing w:after="180" w:before="180"/>
    </w:pPr>
    <w:qFormat/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qFormat/>
    <w:pPr>
      <w:keepNext/>
      <w:keepLines/>
      <w:spacing w:after="240" w:before="480"/>
      <w:jc w:val="center"/>
    </w:pPr>
    <w:rPr>
      <w:rFonts w:asciiTheme="majorHAnsi" w:cstheme="majorBidi" w:eastAsiaTheme="majorEastAsia" w:hAnsiTheme="majorHAnsi"/>
      <w:b/>
      <w:bCs/>
      <w:color w:themeColor="accent1" w:themeShade="B5" w:val="345A8A"/>
      <w:sz w:val="36"/>
      <w:szCs w:val="36"/>
    </w:rPr>
  </w:style>
  <w:style w:styleId="Subtitle" w:type="paragraph">
    <w:name w:val="Subtitle"/>
    <w:basedOn w:val="Title"/>
    <w:next w:val="BodyText"/>
    <w:qFormat/>
    <w:pPr>
      <w:keepNext/>
      <w:keepLines/>
      <w:spacing w:after="240" w:before="240"/>
      <w:jc w:val="center"/>
    </w:pPr>
    <w:rPr>
      <w:sz w:val="30"/>
      <w:szCs w:val="30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jc w:val="center"/>
      <w:spacing w:after="0" w:before="300"/>
    </w:pPr>
    <w:rPr>
      <w:sz w:val="20"/>
      <w:szCs w:val="20"/>
      <w:b/>
      <w:color w:val="345A8A"/>
      &gt;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uiPriority w:val="9"/>
    <w:qFormat/>
    <w:pPr>
      <w:keepNext/>
      <w:keepLines/>
      <w:spacing w:after="0" w:before="480"/>
      <w:outlineLvl w:val="0"/>
    </w:pPr>
    <w:rPr>
      <w:rFonts w:asciiTheme="majorHAnsi" w:cstheme="majorBidi" w:eastAsiaTheme="majorEastAsia" w:hAnsiTheme="majorHAnsi"/>
      <w:b/>
      <w:bCs/>
      <w:color w:themeColor="accent1" w:val="4F81BD"/>
      <w:sz w:val="32"/>
      <w:szCs w:val="32"/>
    </w:rPr>
  </w:style>
  <w:style w:styleId="Heading2" w:type="paragraph">
    <w:name w:val="Heading 2"/>
    <w:basedOn w:val="Normal"/>
    <w:next w:val="BodyText"/>
    <w:uiPriority w:val="9"/>
    <w:unhideWhenUsed/>
    <w:qFormat/>
    <w:pPr>
      <w:keepNext/>
      <w:keepLines/>
      <w:spacing w:after="0" w:before="200"/>
      <w:outlineLvl w:val="1"/>
    </w:pPr>
    <w:rPr>
      <w:rFonts w:asciiTheme="majorHAnsi" w:cstheme="majorBidi" w:eastAsiaTheme="majorEastAsia" w:hAnsiTheme="majorHAnsi"/>
      <w:b/>
      <w:bCs/>
      <w:color w:themeColor="accent1" w:val="4F81BD"/>
      <w:sz w:val="28"/>
      <w:szCs w:val="28"/>
    </w:rPr>
  </w:style>
  <w:style w:styleId="Heading3" w:type="paragraph">
    <w:name w:val="Heading 3"/>
    <w:basedOn w:val="Normal"/>
    <w:next w:val="BodyText"/>
    <w:uiPriority w:val="9"/>
    <w:unhideWhenUsed/>
    <w:qFormat/>
    <w:pPr>
      <w:keepNext/>
      <w:keepLines/>
      <w:spacing w:after="0" w:before="200"/>
      <w:outlineLvl w:val="2"/>
    </w:pPr>
    <w:rPr>
      <w:rFonts w:asciiTheme="majorHAnsi" w:cstheme="majorBidi" w:eastAsiaTheme="majorEastAsia" w:hAnsiTheme="majorHAnsi"/>
      <w:b/>
      <w:bCs/>
      <w:color w:themeColor="accent1" w:val="4F81BD"/>
      <w:sz w:val="24"/>
      <w:szCs w:val="24"/>
    </w:rPr>
  </w:style>
  <w:style w:styleId="Heading4" w:type="paragraph">
    <w:name w:val="Heading 4"/>
    <w:basedOn w:val="Normal"/>
    <w:next w:val="BodyText"/>
    <w:uiPriority w:val="9"/>
    <w:unhideWhenUsed/>
    <w:qFormat/>
    <w:pPr>
      <w:keepNext/>
      <w:keepLines/>
      <w:spacing w:after="0" w:before="200"/>
      <w:outlineLvl w:val="3"/>
    </w:pPr>
    <w:rPr>
      <w:rFonts w:asciiTheme="majorHAnsi" w:cstheme="majorBidi" w:eastAsiaTheme="majorEastAsia" w:hAnsiTheme="majorHAnsi"/>
      <w:i/>
      <w:bCs/>
      <w:color w:themeColor="accent1" w:val="4F81BD"/>
      <w:sz w:val="24"/>
      <w:szCs w:val="24"/>
    </w:rPr>
  </w:style>
  <w:style w:styleId="Heading5" w:type="paragraph">
    <w:name w:val="Heading 5"/>
    <w:basedOn w:val="Normal"/>
    <w:next w:val="BodyText"/>
    <w:uiPriority w:val="9"/>
    <w:unhideWhenUsed/>
    <w:qFormat/>
    <w:pPr>
      <w:keepNext/>
      <w:keepLines/>
      <w:spacing w:after="0" w:before="200"/>
      <w:outlineLvl w:val="4"/>
    </w:pPr>
    <w:rPr>
      <w:rFonts w:asciiTheme="majorHAnsi" w:cstheme="majorBidi" w:eastAsiaTheme="majorEastAsia" w:hAnsiTheme="majorHAnsi"/>
      <w:iCs/>
      <w:color w:themeColor="accent1" w:val="4F81BD"/>
      <w:sz w:val="24"/>
      <w:szCs w:val="24"/>
    </w:rPr>
  </w:style>
  <w:style w:styleId="Heading6" w:type="paragraph">
    <w:name w:val="Heading 6"/>
    <w:basedOn w:val="Normal"/>
    <w:next w:val="BodyText"/>
    <w:uiPriority w:val="9"/>
    <w:unhideWhenUsed/>
    <w:qFormat/>
    <w:pPr>
      <w:keepNext/>
      <w:keepLines/>
      <w:spacing w:after="0" w:before="200"/>
      <w:outlineLvl w:val="5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7" w:type="paragraph">
    <w:name w:val="Heading 7"/>
    <w:basedOn w:val="Normal"/>
    <w:next w:val="BodyText"/>
    <w:uiPriority w:val="9"/>
    <w:unhideWhenUsed/>
    <w:qFormat/>
    <w:pPr>
      <w:keepNext/>
      <w:keepLines/>
      <w:spacing w:after="0" w:before="200"/>
      <w:outlineLvl w:val="6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8" w:type="paragraph">
    <w:name w:val="Heading 8"/>
    <w:basedOn w:val="Normal"/>
    <w:next w:val="BodyText"/>
    <w:uiPriority w:val="9"/>
    <w:unhideWhenUsed/>
    <w:qFormat/>
    <w:pPr>
      <w:keepNext/>
      <w:keepLines/>
      <w:spacing w:after="0" w:before="200"/>
      <w:outlineLvl w:val="7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9" w:type="paragraph">
    <w:name w:val="Heading 9"/>
    <w:basedOn w:val="Normal"/>
    <w:next w:val="BodyText"/>
    <w:uiPriority w:val="9"/>
    <w:unhideWhenUsed/>
    <w:qFormat/>
    <w:pPr>
      <w:keepNext/>
      <w:keepLines/>
      <w:spacing w:after="0" w:before="200"/>
      <w:outlineLvl w:val="8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vAlign w:val="bottom"/>
        <w:tcBorders>
          <w:bottom w:val="single"/>
        </w:tcBorders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color w:val="007020"/>
      <w:b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color w:val="008000"/>
      <w:b/>
    </w:rPr>
  </w:style>
  <w:style w:type="character" w:customStyle="1" w:styleId="CommentTok">
    <w:name w:val="CommentTok"/>
    <w:basedOn w:val="VerbatimChar"/>
    <w:rPr>
      <w:color w:val="60a0b0"/>
      <w:i/>
    </w:rPr>
  </w:style>
  <w:style w:type="character" w:customStyle="1" w:styleId="DocumentationTok">
    <w:name w:val="DocumentationTok"/>
    <w:basedOn w:val="VerbatimChar"/>
    <w:rPr>
      <w:color w:val="ba2121"/>
      <w:i/>
    </w:rPr>
  </w:style>
  <w:style w:type="character" w:customStyle="1" w:styleId="AnnotationTok">
    <w:name w:val="AnnotationTok"/>
    <w:basedOn w:val="VerbatimChar"/>
    <w:rPr>
      <w:color w:val="60a0b0"/>
      <w:b/>
      <w:i/>
    </w:rPr>
  </w:style>
  <w:style w:type="character" w:customStyle="1" w:styleId="CommentVarTok">
    <w:name w:val="CommentVarTok"/>
    <w:basedOn w:val="VerbatimChar"/>
    <w:rPr>
      <w:color w:val="60a0b0"/>
      <w:b/>
      <w:i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color w:val="007020"/>
      <w:b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color w:val="60a0b0"/>
      <w:b/>
      <w:i/>
    </w:rPr>
  </w:style>
  <w:style w:type="character" w:customStyle="1" w:styleId="WarningTok">
    <w:name w:val="WarningTok"/>
    <w:basedOn w:val="VerbatimChar"/>
    <w:rPr>
      <w:color w:val="60a0b0"/>
      <w:b/>
      <w:i/>
    </w:rPr>
  </w:style>
  <w:style w:type="character" w:customStyle="1" w:styleId="AlertTok">
    <w:name w:val="AlertTok"/>
    <w:basedOn w:val="VerbatimChar"/>
    <w:rPr>
      <w:color w:val="ff0000"/>
      <w:b/>
    </w:rPr>
  </w:style>
  <w:style w:type="character" w:customStyle="1" w:styleId="ErrorTok">
    <w:name w:val="ErrorTok"/>
    <w:basedOn w:val="VerbatimChar"/>
    <w:rPr>
      <w:color w:val="ff0000"/>
      <w:b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2026-01-13T15:26:46Z</dcterms:created>
  <dcterms:modified xsi:type="dcterms:W3CDTF">2026-01-13T15:26:46Z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