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7" w:name="Xb0841a674e969074ec95cd5e4ceecbe7020972a"/>
    <w:p>
      <w:pPr>
        <w:pStyle w:val="Heading1"/>
      </w:pPr>
      <w:r>
        <w:t xml:space="preserve">Rettslig grunnlag for Folkehelseinstituttet (FHI)</w:t>
      </w:r>
    </w:p>
    <w:p>
      <w:pPr>
        <w:pStyle w:val="FirstParagraph"/>
      </w:pPr>
      <w:r>
        <w:t xml:space="preserve">Denne oversikten systematiserer lover og forskrifter hvor Folkehelseinstituttet (FHI) er eksplisitt nevnt eller tillagt myndighet. Oversikten er basert på søk i Lovdata per januar 2026.</w:t>
      </w:r>
    </w:p>
    <w:p>
      <w:pPr>
        <w:pStyle w:val="BlockText"/>
      </w:pPr>
      <w:r>
        <w:rPr>
          <w:bCs/>
          <w:b/>
        </w:rPr>
        <w:t xml:space="preserve">Merk:</w:t>
      </w:r>
      <w:r>
        <w:t xml:space="preserve"> </w:t>
      </w:r>
      <w:r>
        <w:t xml:space="preserve">Fra 1. januar 2024 ble ansvaret for flere sentrale helseregistre (blant annet Norsk pasientregister og Kreftregisteret) overført til FHI, noe som gjenspeiles i de oppdaterte forskriftene nedenfor.</w:t>
      </w:r>
    </w:p>
    <w:p>
      <w:r>
        <w:pict>
          <v:rect style="width:0;height:1.5pt" o:hralign="center" o:hrstd="t" o:hr="t"/>
        </w:pict>
      </w:r>
    </w:p>
    <w:bookmarkStart w:id="22" w:name="overordnet-ansvar-og-folkehelsearbeid"/>
    <w:p>
      <w:pPr>
        <w:pStyle w:val="Heading2"/>
      </w:pPr>
      <w:r>
        <w:t xml:space="preserve">1. Overordnet ansvar og folkehelsearbeid</w:t>
      </w:r>
    </w:p>
    <w:bookmarkStart w:id="21" w:name="lov-om-folkehelsearbeid-folkehelseloven"/>
    <w:p>
      <w:pPr>
        <w:pStyle w:val="Heading3"/>
      </w:pPr>
      <w:r>
        <w:t xml:space="preserve">Lov om folkehelsearbeid (Folkehelseloven)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20">
        <w:r>
          <w:rPr>
            <w:rStyle w:val="Hyperlink"/>
          </w:rPr>
          <w:t xml:space="preserve">Lov-2011-06-24-29</w:t>
        </w:r>
      </w:hyperlink>
      <w:r>
        <w:t xml:space="preserve">, særlig § 25.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Kontekst og formål:</w:t>
      </w:r>
      <w:r>
        <w:t xml:space="preserve"> </w:t>
      </w:r>
      <w:r>
        <w:t xml:space="preserve">Loven skal bidra til en samfunnsutvikling som fremmer folkehelse og utjevner sosiale helseforskjeller. FHI har rollen som statens sentrale kunnskapsleverandør.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Lovpålagte oppgaver (Plikter):</w:t>
      </w:r>
    </w:p>
    <w:p>
      <w:pPr>
        <w:numPr>
          <w:ilvl w:val="1"/>
          <w:numId w:val="1002"/>
        </w:numPr>
        <w:pStyle w:val="Compact"/>
      </w:pPr>
      <w:r>
        <w:t xml:space="preserve">Forske, oppsummere og formidle kunnskap innen folkehelseområdet.</w:t>
      </w:r>
    </w:p>
    <w:p>
      <w:pPr>
        <w:numPr>
          <w:ilvl w:val="1"/>
          <w:numId w:val="1002"/>
        </w:numPr>
        <w:pStyle w:val="Compact"/>
      </w:pPr>
      <w:r>
        <w:t xml:space="preserve">Legge til rette for regelmessige fylkesvise folkehelseundersøkelser i samarbeid med fylkeskommunene.</w:t>
      </w:r>
    </w:p>
    <w:p>
      <w:pPr>
        <w:numPr>
          <w:ilvl w:val="1"/>
          <w:numId w:val="1002"/>
        </w:numPr>
        <w:pStyle w:val="Compact"/>
      </w:pPr>
      <w:r>
        <w:t xml:space="preserve">Utarbeide og presentere statistikk fra helseregistre.</w:t>
      </w:r>
    </w:p>
    <w:p>
      <w:pPr>
        <w:numPr>
          <w:ilvl w:val="1"/>
          <w:numId w:val="1002"/>
        </w:numPr>
        <w:pStyle w:val="Compact"/>
      </w:pPr>
      <w:r>
        <w:t xml:space="preserve">Bistå kommuner, statsforvaltere og andre ved eksponering for helseskadelige miljøfaktorer.</w:t>
      </w:r>
    </w:p>
    <w:p>
      <w:pPr>
        <w:numPr>
          <w:ilvl w:val="1"/>
          <w:numId w:val="1002"/>
        </w:numPr>
        <w:pStyle w:val="Compact"/>
      </w:pPr>
      <w:r>
        <w:t xml:space="preserve">Ansvar for nødvendige beredskapsforberedelser.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Hjemler og fullmakter:</w:t>
      </w:r>
    </w:p>
    <w:p>
      <w:pPr>
        <w:numPr>
          <w:ilvl w:val="1"/>
          <w:numId w:val="1003"/>
        </w:numPr>
        <w:pStyle w:val="Compact"/>
      </w:pPr>
      <w:r>
        <w:t xml:space="preserve">Rett til faglig uavhengighet i utførelsen av oppgavene.</w:t>
      </w:r>
    </w:p>
    <w:p>
      <w:pPr>
        <w:numPr>
          <w:ilvl w:val="1"/>
          <w:numId w:val="1003"/>
        </w:numPr>
        <w:pStyle w:val="Compact"/>
      </w:pPr>
      <w:r>
        <w:t xml:space="preserve">Myndighet til å behandle opplysninger for statistikk og analyser.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9" w:name="smittevern-og-beredskap"/>
    <w:p>
      <w:pPr>
        <w:pStyle w:val="Heading2"/>
      </w:pPr>
      <w:r>
        <w:t xml:space="preserve">2. Smittevern og beredskap</w:t>
      </w:r>
    </w:p>
    <w:bookmarkStart w:id="24" w:name="Xb4ad8ce7b22843272a682b52ba21ce0a20f20bc"/>
    <w:p>
      <w:pPr>
        <w:pStyle w:val="Heading3"/>
      </w:pPr>
      <w:r>
        <w:t xml:space="preserve">Lov om vern mot smittsomme sykdommer (Smittevernloven)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23">
        <w:r>
          <w:rPr>
            <w:rStyle w:val="Hyperlink"/>
          </w:rPr>
          <w:t xml:space="preserve">Lov-1994-08-05-55</w:t>
        </w:r>
      </w:hyperlink>
      <w:r>
        <w:t xml:space="preserve">, særlig § 7-9.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Kontekst og formål:</w:t>
      </w:r>
      <w:r>
        <w:t xml:space="preserve"> </w:t>
      </w:r>
      <w:r>
        <w:t xml:space="preserve">Sikre vern mot smittsomme sykdommer. FHI er definert som statens smitteverninstitutt.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Lovpålagte oppgaver (Plikter):</w:t>
      </w:r>
    </w:p>
    <w:p>
      <w:pPr>
        <w:numPr>
          <w:ilvl w:val="1"/>
          <w:numId w:val="1005"/>
        </w:numPr>
        <w:pStyle w:val="Compact"/>
      </w:pPr>
      <w:r>
        <w:t xml:space="preserve">Overvåke den nasjonale og delta i overvåkingen av den internasjonale epidemiologiske situasjonen.</w:t>
      </w:r>
    </w:p>
    <w:p>
      <w:pPr>
        <w:numPr>
          <w:ilvl w:val="1"/>
          <w:numId w:val="1005"/>
        </w:numPr>
        <w:pStyle w:val="Compact"/>
      </w:pPr>
      <w:r>
        <w:t xml:space="preserve">Utføre helseanalyser og drive forskning på smittevernområdet.</w:t>
      </w:r>
    </w:p>
    <w:p>
      <w:pPr>
        <w:numPr>
          <w:ilvl w:val="1"/>
          <w:numId w:val="1005"/>
        </w:numPr>
        <w:pStyle w:val="Compact"/>
      </w:pPr>
      <w:r>
        <w:t xml:space="preserve">Gi smittevernfaglige råd og bistand til helsetjenesten og myndigheter ved utbrudd.</w:t>
      </w:r>
    </w:p>
    <w:p>
      <w:pPr>
        <w:numPr>
          <w:ilvl w:val="1"/>
          <w:numId w:val="1005"/>
        </w:numPr>
        <w:pStyle w:val="Compact"/>
      </w:pPr>
      <w:r>
        <w:t xml:space="preserve">Sikre vaksineforsyning (hjemlet i forskrifter og beredskapsplaner).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Hjemler og fullmakter:</w:t>
      </w:r>
    </w:p>
    <w:p>
      <w:pPr>
        <w:numPr>
          <w:ilvl w:val="1"/>
          <w:numId w:val="1006"/>
        </w:numPr>
        <w:pStyle w:val="Compact"/>
      </w:pPr>
      <w:r>
        <w:t xml:space="preserve">Behandle helseopplysninger nødvendig for overvåking og forskning.</w:t>
      </w:r>
    </w:p>
    <w:p>
      <w:pPr>
        <w:numPr>
          <w:ilvl w:val="1"/>
          <w:numId w:val="1006"/>
        </w:numPr>
        <w:pStyle w:val="Compact"/>
      </w:pPr>
      <w:r>
        <w:t xml:space="preserve">Motta varsler om smittsomme sykdommer (MSIS).</w:t>
      </w:r>
    </w:p>
    <w:bookmarkEnd w:id="24"/>
    <w:bookmarkStart w:id="26" w:name="X240c010fb057ff72e2a65bfa3fd33a30515d773"/>
    <w:p>
      <w:pPr>
        <w:pStyle w:val="Heading3"/>
      </w:pPr>
      <w:r>
        <w:t xml:space="preserve">Forskrift om varsling av og tiltak ved alvorlige hendelser av betydning for internasjonal folkehelse (IHR-forskriften)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25">
        <w:r>
          <w:rPr>
            <w:rStyle w:val="Hyperlink"/>
          </w:rPr>
          <w:t xml:space="preserve">Forskrift-2007-12-21-1573</w:t>
        </w:r>
      </w:hyperlink>
      <w:r>
        <w:t xml:space="preserve">, §§ 7, 9.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Kontekst og formål:</w:t>
      </w:r>
      <w:r>
        <w:t xml:space="preserve"> </w:t>
      </w:r>
      <w:r>
        <w:t xml:space="preserve">Gjennomføring av WHOs internasjonale helsereglement (IHR).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Lovpålagte oppgaver (Plikter):</w:t>
      </w:r>
    </w:p>
    <w:p>
      <w:pPr>
        <w:numPr>
          <w:ilvl w:val="1"/>
          <w:numId w:val="1008"/>
        </w:numPr>
        <w:pStyle w:val="Compact"/>
      </w:pPr>
      <w:r>
        <w:t xml:space="preserve">Vurdere hendelser på norsk territorium innen 48 timer.</w:t>
      </w:r>
    </w:p>
    <w:p>
      <w:pPr>
        <w:numPr>
          <w:ilvl w:val="1"/>
          <w:numId w:val="1008"/>
        </w:numPr>
        <w:pStyle w:val="Compact"/>
      </w:pPr>
      <w:r>
        <w:t xml:space="preserve">Varsle WHO og EU-kommisjonen om alvorlige hendelser innen 24 timer.</w:t>
      </w:r>
    </w:p>
    <w:p>
      <w:pPr>
        <w:numPr>
          <w:ilvl w:val="1"/>
          <w:numId w:val="1008"/>
        </w:numPr>
        <w:pStyle w:val="Compact"/>
      </w:pPr>
      <w:r>
        <w:t xml:space="preserve">Informere departementet og Helsedirektoratet om varslingen.</w:t>
      </w:r>
    </w:p>
    <w:p>
      <w:pPr>
        <w:numPr>
          <w:ilvl w:val="0"/>
          <w:numId w:val="1007"/>
        </w:numPr>
        <w:pStyle w:val="Compact"/>
      </w:pPr>
      <w:r>
        <w:rPr>
          <w:bCs/>
          <w:b/>
        </w:rPr>
        <w:t xml:space="preserve">Hjemler og fullmakter:</w:t>
      </w:r>
    </w:p>
    <w:p>
      <w:pPr>
        <w:numPr>
          <w:ilvl w:val="1"/>
          <w:numId w:val="1009"/>
        </w:numPr>
        <w:pStyle w:val="Compact"/>
      </w:pPr>
      <w:r>
        <w:t xml:space="preserve">Fungere som nasjonalt kontaktpunkt mot WHO.</w:t>
      </w:r>
    </w:p>
    <w:bookmarkEnd w:id="26"/>
    <w:bookmarkStart w:id="28" w:name="Xe581d8bf24873613207ccbf36d1b8a11d8a38da"/>
    <w:p>
      <w:pPr>
        <w:pStyle w:val="Heading3"/>
      </w:pPr>
      <w:r>
        <w:t xml:space="preserve">Forskrift om nasjonalt vaksinasjonsprogram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27">
        <w:r>
          <w:rPr>
            <w:rStyle w:val="Hyperlink"/>
          </w:rPr>
          <w:t xml:space="preserve">Forskrift-2009-10-02-1229</w:t>
        </w:r>
      </w:hyperlink>
      <w:r>
        <w:t xml:space="preserve">, § 4.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Kontekst:</w:t>
      </w:r>
      <w:r>
        <w:t xml:space="preserve"> </w:t>
      </w:r>
      <w:r>
        <w:t xml:space="preserve">Barnevaksinasjonsprogrammet.</w:t>
      </w:r>
    </w:p>
    <w:p>
      <w:pPr>
        <w:numPr>
          <w:ilvl w:val="0"/>
          <w:numId w:val="1010"/>
        </w:numPr>
        <w:pStyle w:val="Compact"/>
      </w:pPr>
      <w:r>
        <w:rPr>
          <w:bCs/>
          <w:b/>
        </w:rPr>
        <w:t xml:space="preserve">Hjemler og fullmakter:</w:t>
      </w:r>
    </w:p>
    <w:p>
      <w:pPr>
        <w:numPr>
          <w:ilvl w:val="1"/>
          <w:numId w:val="1011"/>
        </w:numPr>
        <w:pStyle w:val="Compact"/>
      </w:pPr>
      <w:r>
        <w:t xml:space="preserve">Definere hvilke risikogrupper av barn som skal tilbys BCG-vaksine.</w:t>
      </w:r>
    </w:p>
    <w:p>
      <w:r>
        <w:pict>
          <v:rect style="width:0;height:1.5pt" o:hralign="center" o:hrstd="t" o:hr="t"/>
        </w:pict>
      </w:r>
    </w:p>
    <w:bookmarkEnd w:id="28"/>
    <w:bookmarkEnd w:id="29"/>
    <w:bookmarkStart w:id="38" w:name="helseregistre-og-helsedata"/>
    <w:p>
      <w:pPr>
        <w:pStyle w:val="Heading2"/>
      </w:pPr>
      <w:r>
        <w:t xml:space="preserve">3. Helseregistre og helsedata</w:t>
      </w:r>
    </w:p>
    <w:p>
      <w:pPr>
        <w:pStyle w:val="FirstParagraph"/>
      </w:pPr>
      <w:r>
        <w:t xml:space="preserve">FHI er etter omorganiseringen i 2024 dataansvarlig for de fleste sentrale helseregistre.</w:t>
      </w:r>
    </w:p>
    <w:bookmarkStart w:id="30" w:name="felles-bestemmelser-for-registrene"/>
    <w:p>
      <w:pPr>
        <w:pStyle w:val="Heading3"/>
      </w:pPr>
      <w:r>
        <w:t xml:space="preserve">Felles bestemmelser for registrene</w:t>
      </w:r>
    </w:p>
    <w:p>
      <w:pPr>
        <w:pStyle w:val="FirstParagraph"/>
      </w:pPr>
      <w:r>
        <w:t xml:space="preserve">Gjelder for:</w:t>
      </w:r>
      <w:r>
        <w:t xml:space="preserve"> </w:t>
      </w:r>
      <w:r>
        <w:rPr>
          <w:iCs/>
          <w:i/>
        </w:rPr>
        <w:t xml:space="preserve">Norsk pasientregister (NPR), Kommunalt pasient- og brukerregister (KPR), Kreftregisteret, Dødsårsaksregisteret, Medisinsk fødselsregister (MFR), MSIS, SYSVAK, m.fl.</w:t>
      </w:r>
    </w:p>
    <w:p>
      <w:pPr>
        <w:numPr>
          <w:ilvl w:val="0"/>
          <w:numId w:val="1012"/>
        </w:numPr>
        <w:pStyle w:val="Compact"/>
      </w:pPr>
      <w:r>
        <w:rPr>
          <w:bCs/>
          <w:b/>
        </w:rPr>
        <w:t xml:space="preserve">Lovpålagte oppgaver (Plikter):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Dataansvar:</w:t>
      </w:r>
      <w:r>
        <w:t xml:space="preserve"> </w:t>
      </w:r>
      <w:r>
        <w:t xml:space="preserve">Ansvar for innsamling, behandling og sikring av data.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Kvalitetskontroll:</w:t>
      </w:r>
      <w:r>
        <w:t xml:space="preserve"> </w:t>
      </w:r>
      <w:r>
        <w:t xml:space="preserve">Sørge for at opplysningene er korrekte, relevante og nødvendige.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Internkontroll:</w:t>
      </w:r>
      <w:r>
        <w:t xml:space="preserve"> </w:t>
      </w:r>
      <w:r>
        <w:t xml:space="preserve">Gjennomføre tekniske og organisatoriske tiltak for informasjonssikkerhet (GDPR).</w:t>
      </w:r>
    </w:p>
    <w:p>
      <w:pPr>
        <w:numPr>
          <w:ilvl w:val="1"/>
          <w:numId w:val="1013"/>
        </w:numPr>
        <w:pStyle w:val="Compact"/>
      </w:pPr>
      <w:r>
        <w:rPr>
          <w:bCs/>
          <w:b/>
        </w:rPr>
        <w:t xml:space="preserve">Statistikk:</w:t>
      </w:r>
      <w:r>
        <w:t xml:space="preserve"> </w:t>
      </w:r>
      <w:r>
        <w:t xml:space="preserve">Utarbeide og publisere statistikk.</w:t>
      </w:r>
    </w:p>
    <w:p>
      <w:pPr>
        <w:numPr>
          <w:ilvl w:val="0"/>
          <w:numId w:val="1012"/>
        </w:numPr>
        <w:pStyle w:val="Compact"/>
      </w:pPr>
      <w:r>
        <w:rPr>
          <w:bCs/>
          <w:b/>
        </w:rPr>
        <w:t xml:space="preserve">Hjemler og fullmakter:</w:t>
      </w:r>
    </w:p>
    <w:p>
      <w:pPr>
        <w:numPr>
          <w:ilvl w:val="1"/>
          <w:numId w:val="1014"/>
        </w:numPr>
        <w:pStyle w:val="Compact"/>
      </w:pPr>
      <w:r>
        <w:t xml:space="preserve">Inngå avtaler med databehandlere.</w:t>
      </w:r>
    </w:p>
    <w:p>
      <w:pPr>
        <w:numPr>
          <w:ilvl w:val="1"/>
          <w:numId w:val="1014"/>
        </w:numPr>
        <w:pStyle w:val="Compact"/>
      </w:pPr>
      <w:r>
        <w:t xml:space="preserve">Koble data mot Folkeregisteret for kvalitetssikring.</w:t>
      </w:r>
    </w:p>
    <w:p>
      <w:pPr>
        <w:numPr>
          <w:ilvl w:val="1"/>
          <w:numId w:val="1014"/>
        </w:numPr>
        <w:pStyle w:val="Compact"/>
      </w:pPr>
      <w:r>
        <w:t xml:space="preserve">Gi tilgang til data til forskning og styring.</w:t>
      </w:r>
    </w:p>
    <w:bookmarkEnd w:id="30"/>
    <w:bookmarkStart w:id="37" w:name="spesifikke-forskrifter-utvalg"/>
    <w:p>
      <w:pPr>
        <w:pStyle w:val="Heading3"/>
      </w:pPr>
      <w:r>
        <w:t xml:space="preserve">Spesifikke forskrifter (Utvalg)</w:t>
      </w:r>
    </w:p>
    <w:bookmarkStart w:id="32" w:name="X65c5399dfac051a04672362c8ee90489008f717"/>
    <w:p>
      <w:pPr>
        <w:pStyle w:val="Heading4"/>
      </w:pPr>
      <w:r>
        <w:t xml:space="preserve">Forskrift om Meldingssystem for smittsomme sykdommer (MSIS-forskriften)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31">
        <w:r>
          <w:rPr>
            <w:rStyle w:val="Hyperlink"/>
          </w:rPr>
          <w:t xml:space="preserve">Forskrift-2003-06-20-740</w:t>
        </w:r>
      </w:hyperlink>
      <w:r>
        <w:t xml:space="preserve">.</w:t>
      </w:r>
      <w:r>
        <w:t xml:space="preserve"> </w:t>
      </w:r>
      <w:r>
        <w:t xml:space="preserve">*</w:t>
      </w:r>
      <w:r>
        <w:t xml:space="preserve"> </w:t>
      </w:r>
      <w:r>
        <w:rPr>
          <w:bCs/>
          <w:b/>
        </w:rPr>
        <w:t xml:space="preserve">Særlige oppgaver:</w:t>
      </w:r>
      <w:r>
        <w:t xml:space="preserve"> </w:t>
      </w:r>
      <w:r>
        <w:t xml:space="preserve">Motta meldinger fra leger og laboratorier (§ 2-1), varsle Helsedirektoratet ved alvorlige utbrudd (§ 3-3), ansvar for biobanker tilknyttet MSIS (§ 1-5).</w:t>
      </w:r>
    </w:p>
    <w:bookmarkEnd w:id="32"/>
    <w:bookmarkStart w:id="34" w:name="X5a753dd9da45e97315a33d08d29914591a8670a"/>
    <w:p>
      <w:pPr>
        <w:pStyle w:val="Heading4"/>
      </w:pPr>
      <w:r>
        <w:t xml:space="preserve">Forskrift om nasjonal løsning for tilgjengeliggjøring av helsedata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33">
        <w:r>
          <w:rPr>
            <w:rStyle w:val="Hyperlink"/>
          </w:rPr>
          <w:t xml:space="preserve">Forskrift-2023-01-11-48</w:t>
        </w:r>
      </w:hyperlink>
      <w:r>
        <w:t xml:space="preserve">.</w:t>
      </w:r>
      <w:r>
        <w:t xml:space="preserve"> </w:t>
      </w:r>
      <w:r>
        <w:t xml:space="preserve">*</w:t>
      </w:r>
      <w:r>
        <w:t xml:space="preserve"> </w:t>
      </w:r>
      <w:r>
        <w:rPr>
          <w:bCs/>
          <w:b/>
        </w:rPr>
        <w:t xml:space="preserve">Kontekst:</w:t>
      </w:r>
      <w:r>
        <w:t xml:space="preserve"> </w:t>
      </w:r>
      <w:r>
        <w:t xml:space="preserve">“</w:t>
      </w:r>
      <w:r>
        <w:t xml:space="preserve">Helsedataservice</w:t>
      </w:r>
      <w:r>
        <w:t xml:space="preserve">”</w:t>
      </w:r>
      <w:r>
        <w:t xml:space="preserve"> </w:t>
      </w:r>
      <w:r>
        <w:t xml:space="preserve">– forenklet tilgang til helsedata.</w:t>
      </w:r>
      <w:r>
        <w:t xml:space="preserve"> </w:t>
      </w:r>
      <w:r>
        <w:t xml:space="preserve">*</w:t>
      </w:r>
      <w:r>
        <w:t xml:space="preserve"> </w:t>
      </w:r>
      <w:r>
        <w:rPr>
          <w:bCs/>
          <w:b/>
        </w:rPr>
        <w:t xml:space="preserve">Hjemler:</w:t>
      </w:r>
      <w:r>
        <w:t xml:space="preserve"> </w:t>
      </w:r>
      <w:r>
        <w:t xml:space="preserve">* Ta avgjørelser om tilgjengeliggjøring av data fra registrene (§ 4).</w:t>
      </w:r>
      <w:r>
        <w:t xml:space="preserve"> </w:t>
      </w:r>
      <w:r>
        <w:t xml:space="preserve">* Sette vilkår for tilgjengeliggjøring for å verne den registrerte.</w:t>
      </w:r>
      <w:r>
        <w:t xml:space="preserve"> </w:t>
      </w:r>
      <w:r>
        <w:t xml:space="preserve">* Koordinere søknader om etisk forhåndsgodkjenning (§ 6).</w:t>
      </w:r>
    </w:p>
    <w:bookmarkEnd w:id="34"/>
    <w:bookmarkStart w:id="36" w:name="X4656cf3be76ff09cbcadad17d28be93faafca2d"/>
    <w:p>
      <w:pPr>
        <w:pStyle w:val="Heading4"/>
      </w:pPr>
      <w:r>
        <w:t xml:space="preserve">Forskrift om Legemiddelregisteret (LMR-forskriften)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35">
        <w:r>
          <w:rPr>
            <w:rStyle w:val="Hyperlink"/>
          </w:rPr>
          <w:t xml:space="preserve">Forskrift-2021-03-26-969</w:t>
        </w:r>
      </w:hyperlink>
      <w:r>
        <w:t xml:space="preserve">.</w:t>
      </w:r>
      <w:r>
        <w:t xml:space="preserve"> </w:t>
      </w:r>
      <w:r>
        <w:t xml:space="preserve">*</w:t>
      </w:r>
      <w:r>
        <w:t xml:space="preserve"> </w:t>
      </w:r>
      <w:r>
        <w:rPr>
          <w:bCs/>
          <w:b/>
        </w:rPr>
        <w:t xml:space="preserve">Særlige oppgaver:</w:t>
      </w:r>
      <w:r>
        <w:t xml:space="preserve"> </w:t>
      </w:r>
      <w:r>
        <w:t xml:space="preserve">Lagre fødselsnummer kryptert og adskilt (§ 3-2).</w:t>
      </w:r>
    </w:p>
    <w:p>
      <w:r>
        <w:pict>
          <v:rect style="width:0;height:1.5pt" o:hralign="center" o:hrstd="t" o:hr="t"/>
        </w:pict>
      </w:r>
    </w:p>
    <w:bookmarkEnd w:id="36"/>
    <w:bookmarkEnd w:id="37"/>
    <w:bookmarkEnd w:id="38"/>
    <w:bookmarkStart w:id="43" w:name="miljørettet-helsevern"/>
    <w:p>
      <w:pPr>
        <w:pStyle w:val="Heading2"/>
      </w:pPr>
      <w:r>
        <w:t xml:space="preserve">4. Miljørettet helsevern</w:t>
      </w:r>
    </w:p>
    <w:bookmarkStart w:id="40" w:name="forskrift-om-miljørettet-helsevern"/>
    <w:p>
      <w:pPr>
        <w:pStyle w:val="Heading3"/>
      </w:pPr>
      <w:r>
        <w:t xml:space="preserve">Forskrift om miljørettet helsevern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39">
        <w:r>
          <w:rPr>
            <w:rStyle w:val="Hyperlink"/>
          </w:rPr>
          <w:t xml:space="preserve">Forskrift-2003-04-25-486</w:t>
        </w:r>
      </w:hyperlink>
      <w:r>
        <w:t xml:space="preserve">, § 6.</w:t>
      </w:r>
    </w:p>
    <w:p>
      <w:pPr>
        <w:numPr>
          <w:ilvl w:val="0"/>
          <w:numId w:val="1015"/>
        </w:numPr>
        <w:pStyle w:val="Compact"/>
      </w:pPr>
      <w:r>
        <w:rPr>
          <w:bCs/>
          <w:b/>
        </w:rPr>
        <w:t xml:space="preserve">Kontekst:</w:t>
      </w:r>
      <w:r>
        <w:t xml:space="preserve"> </w:t>
      </w:r>
      <w:r>
        <w:t xml:space="preserve">Kommunenes ansvar for miljø og helse.</w:t>
      </w:r>
    </w:p>
    <w:p>
      <w:pPr>
        <w:numPr>
          <w:ilvl w:val="0"/>
          <w:numId w:val="1015"/>
        </w:numPr>
        <w:pStyle w:val="Compact"/>
      </w:pPr>
      <w:r>
        <w:rPr>
          <w:bCs/>
          <w:b/>
        </w:rPr>
        <w:t xml:space="preserve">Lovpålagte oppgaver:</w:t>
      </w:r>
    </w:p>
    <w:p>
      <w:pPr>
        <w:numPr>
          <w:ilvl w:val="1"/>
          <w:numId w:val="1016"/>
        </w:numPr>
        <w:pStyle w:val="Compact"/>
      </w:pPr>
      <w:r>
        <w:t xml:space="preserve">Motta varsel fra kommunen/statsforvalteren om uvanlige eller alvorlige helsetrusler.</w:t>
      </w:r>
    </w:p>
    <w:p>
      <w:pPr>
        <w:numPr>
          <w:ilvl w:val="1"/>
          <w:numId w:val="1016"/>
        </w:numPr>
        <w:pStyle w:val="Compact"/>
      </w:pPr>
      <w:r>
        <w:t xml:space="preserve">Varsle Helsedirektoratet hvis mistanken ikke raskt avkreftes.</w:t>
      </w:r>
    </w:p>
    <w:p>
      <w:pPr>
        <w:numPr>
          <w:ilvl w:val="0"/>
          <w:numId w:val="1015"/>
        </w:numPr>
        <w:pStyle w:val="Compact"/>
      </w:pPr>
      <w:r>
        <w:rPr>
          <w:bCs/>
          <w:b/>
        </w:rPr>
        <w:t xml:space="preserve">Hjemler:</w:t>
      </w:r>
    </w:p>
    <w:p>
      <w:pPr>
        <w:numPr>
          <w:ilvl w:val="1"/>
          <w:numId w:val="1017"/>
        </w:numPr>
        <w:pStyle w:val="Compact"/>
      </w:pPr>
      <w:r>
        <w:t xml:space="preserve">Oppbevare og behandle helseopplysninger mottatt gjennom varsel så lenge det er nødvendig.</w:t>
      </w:r>
    </w:p>
    <w:bookmarkEnd w:id="40"/>
    <w:bookmarkStart w:id="42" w:name="X6606c08f91d5d9310e9becda94b22812d2a03a6"/>
    <w:p>
      <w:pPr>
        <w:pStyle w:val="Heading3"/>
      </w:pPr>
      <w:r>
        <w:t xml:space="preserve">Forskrift for badeanlegg, bassengbad og badstu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41">
        <w:r>
          <w:rPr>
            <w:rStyle w:val="Hyperlink"/>
          </w:rPr>
          <w:t xml:space="preserve">Forskrift-1996-06-13-592</w:t>
        </w:r>
      </w:hyperlink>
      <w:r>
        <w:t xml:space="preserve">, § 18.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Kontekst:</w:t>
      </w:r>
      <w:r>
        <w:t xml:space="preserve"> </w:t>
      </w:r>
      <w:r>
        <w:t xml:space="preserve">Forebygging av Legionella.</w:t>
      </w:r>
    </w:p>
    <w:p>
      <w:pPr>
        <w:numPr>
          <w:ilvl w:val="0"/>
          <w:numId w:val="1018"/>
        </w:numPr>
        <w:pStyle w:val="Compact"/>
      </w:pPr>
      <w:r>
        <w:rPr>
          <w:bCs/>
          <w:b/>
        </w:rPr>
        <w:t xml:space="preserve">Hjemler:</w:t>
      </w:r>
    </w:p>
    <w:p>
      <w:pPr>
        <w:numPr>
          <w:ilvl w:val="1"/>
          <w:numId w:val="1019"/>
        </w:numPr>
        <w:pStyle w:val="Compact"/>
      </w:pPr>
      <w:r>
        <w:t xml:space="preserve">Gi forhåndsuttalelse om typer/modeller av boblebad er utformet for å gi tilfredsstillende beskyttelse.</w:t>
      </w:r>
    </w:p>
    <w:p>
      <w:r>
        <w:pict>
          <v:rect style="width:0;height:1.5pt" o:hralign="center" o:hrstd="t" o:hr="t"/>
        </w:pict>
      </w:r>
    </w:p>
    <w:bookmarkEnd w:id="42"/>
    <w:bookmarkEnd w:id="43"/>
    <w:bookmarkStart w:id="46" w:name="geografiske-særområder"/>
    <w:p>
      <w:pPr>
        <w:pStyle w:val="Heading2"/>
      </w:pPr>
      <w:r>
        <w:t xml:space="preserve">5. Geografiske særområder</w:t>
      </w:r>
    </w:p>
    <w:bookmarkStart w:id="45" w:name="X0bc6e9dcaa517e17162e4fbcbb9e636d69aedac"/>
    <w:p>
      <w:pPr>
        <w:pStyle w:val="Heading3"/>
      </w:pPr>
      <w:r>
        <w:t xml:space="preserve">Forskrift om anvendelse av helselover og -forskrifter for Svalbard og Jan Mayen</w:t>
      </w:r>
    </w:p>
    <w:p>
      <w:pPr>
        <w:pStyle w:val="FirstParagraph"/>
      </w:pPr>
      <w:r>
        <w:rPr>
          <w:bCs/>
          <w:b/>
        </w:rPr>
        <w:t xml:space="preserve">Referanse:</w:t>
      </w:r>
      <w:r>
        <w:t xml:space="preserve"> </w:t>
      </w:r>
      <w:hyperlink r:id="rId44">
        <w:r>
          <w:rPr>
            <w:rStyle w:val="Hyperlink"/>
          </w:rPr>
          <w:t xml:space="preserve">Forskrift-2015-06-22-747</w:t>
        </w:r>
      </w:hyperlink>
      <w:r>
        <w:t xml:space="preserve">, § 10.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Kontekst:</w:t>
      </w:r>
      <w:r>
        <w:t xml:space="preserve"> </w:t>
      </w:r>
      <w:r>
        <w:t xml:space="preserve">Tilpasning av lovverket for øygruppene.</w:t>
      </w:r>
    </w:p>
    <w:p>
      <w:pPr>
        <w:numPr>
          <w:ilvl w:val="0"/>
          <w:numId w:val="1020"/>
        </w:numPr>
        <w:pStyle w:val="Compact"/>
      </w:pPr>
      <w:r>
        <w:rPr>
          <w:bCs/>
          <w:b/>
        </w:rPr>
        <w:t xml:space="preserve">Lovpålagte oppgaver:</w:t>
      </w:r>
    </w:p>
    <w:p>
      <w:pPr>
        <w:numPr>
          <w:ilvl w:val="1"/>
          <w:numId w:val="1021"/>
        </w:numPr>
        <w:pStyle w:val="Compact"/>
      </w:pPr>
      <w:r>
        <w:t xml:space="preserve">Bistå Longyearbyen lokalstyre og Sysselmesteren ved utøvelse av myndighet innen miljørettet helsevern dersom det er behov for dette.</w:t>
      </w:r>
    </w:p>
    <w:bookmarkEnd w:id="45"/>
    <w:bookmarkEnd w:id="46"/>
    <w:bookmarkEnd w:id="47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41" Target="https://lovdata.no/forskrift/1996-06-13-592" TargetMode="External" /><Relationship Type="http://schemas.openxmlformats.org/officeDocument/2006/relationships/hyperlink" Id="rId39" Target="https://lovdata.no/forskrift/2003-04-25-486" TargetMode="External" /><Relationship Type="http://schemas.openxmlformats.org/officeDocument/2006/relationships/hyperlink" Id="rId31" Target="https://lovdata.no/forskrift/2003-06-20-740" TargetMode="External" /><Relationship Type="http://schemas.openxmlformats.org/officeDocument/2006/relationships/hyperlink" Id="rId25" Target="https://lovdata.no/forskrift/2007-12-21-1573" TargetMode="External" /><Relationship Type="http://schemas.openxmlformats.org/officeDocument/2006/relationships/hyperlink" Id="rId27" Target="https://lovdata.no/forskrift/2009-10-02-1229" TargetMode="External" /><Relationship Type="http://schemas.openxmlformats.org/officeDocument/2006/relationships/hyperlink" Id="rId44" Target="https://lovdata.no/forskrift/2015-06-22-747" TargetMode="External" /><Relationship Type="http://schemas.openxmlformats.org/officeDocument/2006/relationships/hyperlink" Id="rId35" Target="https://lovdata.no/forskrift/2021-03-26-969" TargetMode="External" /><Relationship Type="http://schemas.openxmlformats.org/officeDocument/2006/relationships/hyperlink" Id="rId33" Target="https://lovdata.no/forskrift/2023-01-11-48" TargetMode="External" /><Relationship Type="http://schemas.openxmlformats.org/officeDocument/2006/relationships/hyperlink" Id="rId23" Target="https://lovdata.no/lov/1994-08-05-55" TargetMode="External" /><Relationship Type="http://schemas.openxmlformats.org/officeDocument/2006/relationships/hyperlink" Id="rId20" Target="https://lovdata.no/lov/2011-06-24-29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41" Target="https://lovdata.no/forskrift/1996-06-13-592" TargetMode="External" /><Relationship Type="http://schemas.openxmlformats.org/officeDocument/2006/relationships/hyperlink" Id="rId39" Target="https://lovdata.no/forskrift/2003-04-25-486" TargetMode="External" /><Relationship Type="http://schemas.openxmlformats.org/officeDocument/2006/relationships/hyperlink" Id="rId31" Target="https://lovdata.no/forskrift/2003-06-20-740" TargetMode="External" /><Relationship Type="http://schemas.openxmlformats.org/officeDocument/2006/relationships/hyperlink" Id="rId25" Target="https://lovdata.no/forskrift/2007-12-21-1573" TargetMode="External" /><Relationship Type="http://schemas.openxmlformats.org/officeDocument/2006/relationships/hyperlink" Id="rId27" Target="https://lovdata.no/forskrift/2009-10-02-1229" TargetMode="External" /><Relationship Type="http://schemas.openxmlformats.org/officeDocument/2006/relationships/hyperlink" Id="rId44" Target="https://lovdata.no/forskrift/2015-06-22-747" TargetMode="External" /><Relationship Type="http://schemas.openxmlformats.org/officeDocument/2006/relationships/hyperlink" Id="rId35" Target="https://lovdata.no/forskrift/2021-03-26-969" TargetMode="External" /><Relationship Type="http://schemas.openxmlformats.org/officeDocument/2006/relationships/hyperlink" Id="rId33" Target="https://lovdata.no/forskrift/2023-01-11-48" TargetMode="External" /><Relationship Type="http://schemas.openxmlformats.org/officeDocument/2006/relationships/hyperlink" Id="rId23" Target="https://lovdata.no/lov/1994-08-05-55" TargetMode="External" /><Relationship Type="http://schemas.openxmlformats.org/officeDocument/2006/relationships/hyperlink" Id="rId20" Target="https://lovdata.no/lov/2011-06-24-29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2026-01-12T14:01:20Z</dcterms:created>
  <dcterms:modified xsi:type="dcterms:W3CDTF">2026-01-12T14:01:20Z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