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2" w:name="Xefbc0005196683aa9823af6c1469bc439cc8cc2"/>
    <w:p>
      <w:pPr>
        <w:pStyle w:val="Heading1"/>
      </w:pPr>
      <w:r>
        <w:t xml:space="preserve">Juridisk Analyse: Supplerende Rettsgrunnlag for GDPR-behandlinger</w:t>
      </w:r>
    </w:p>
    <w:bookmarkStart w:id="20" w:name="sammendrag"/>
    <w:p>
      <w:pPr>
        <w:pStyle w:val="Heading2"/>
      </w:pPr>
      <w:r>
        <w:t xml:space="preserve">Sammendrag</w:t>
      </w:r>
    </w:p>
    <w:p>
      <w:pPr>
        <w:pStyle w:val="FirstParagraph"/>
      </w:pPr>
      <w:r>
        <w:t xml:space="preserve">Denne rapporten analyserer fem poster i oversikten over rettsgrunnlag for behandling av personopplysninger der feltet</w:t>
      </w:r>
      <w:r>
        <w:t xml:space="preserve"> </w:t>
      </w:r>
      <w:r>
        <w:t xml:space="preserve">“</w:t>
      </w:r>
      <w:r>
        <w:t xml:space="preserve">Supplerende rettsgrunnlag</w:t>
      </w:r>
      <w:r>
        <w:t xml:space="preserve">”</w:t>
      </w:r>
      <w:r>
        <w:t xml:space="preserve"> </w:t>
      </w:r>
      <w:r>
        <w:t xml:space="preserve">er satt til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. Analysen vurderer om dette er korrekt, eller om det bør angis et supplerende rettsgrunnlag i norsk lov.</w:t>
      </w:r>
    </w:p>
    <w:p>
      <w:r>
        <w:pict>
          <v:rect style="width:0;height:1.5pt" o:hralign="center" o:hrstd="t" o:hr="t"/>
        </w:pict>
      </w:r>
    </w:p>
    <w:bookmarkEnd w:id="20"/>
    <w:bookmarkStart w:id="23" w:name="juridisk-bakgrunn"/>
    <w:p>
      <w:pPr>
        <w:pStyle w:val="Heading2"/>
      </w:pPr>
      <w:r>
        <w:t xml:space="preserve">Juridisk Bakgrunn</w:t>
      </w:r>
    </w:p>
    <w:bookmarkStart w:id="21" w:name="samtykke-som-selvstendig-rettsgrunnlag"/>
    <w:p>
      <w:pPr>
        <w:pStyle w:val="Heading3"/>
      </w:pPr>
      <w:r>
        <w:t xml:space="preserve">Samtykke som selvstendig rettsgrunnlag</w:t>
      </w:r>
    </w:p>
    <w:p>
      <w:pPr>
        <w:pStyle w:val="FirstParagraph"/>
      </w:pPr>
      <w:r>
        <w:t xml:space="preserve">Personvernforordningen (GDPR) artikkel 6 nr. 1 bokstav a) og artikkel 9 nr. 2 bokstav a) etablerer samtykke som et selvstendig og fullverdig rettsgrunnlag for behandling av henholdsvis alminnelige personopplysninger og særlige kategorier av personopplysninger.</w:t>
      </w:r>
    </w:p>
    <w:p>
      <w:pPr>
        <w:pStyle w:val="BodyText"/>
      </w:pPr>
      <w:r>
        <w:rPr>
          <w:bCs/>
          <w:b/>
        </w:rPr>
        <w:t xml:space="preserve">Hovedregel:</w:t>
      </w:r>
      <w:r>
        <w:t xml:space="preserve"> </w:t>
      </w:r>
      <w:r>
        <w:t xml:space="preserve">Når behandlingen er basert på samtykke, utgjør samtykket i seg selv det nødvendige rettsgrunnlaget. Det kreves normalt ikke supplerende hjemmel i nasjonal lovgivning.</w:t>
      </w:r>
    </w:p>
    <w:p>
      <w:pPr>
        <w:pStyle w:val="BodyText"/>
      </w:pPr>
      <w:r>
        <w:t xml:space="preserve">Dette bekreftes av:</w:t>
      </w:r>
      <w:r>
        <w:t xml:space="preserve"> </w:t>
      </w:r>
      <w:r>
        <w:t xml:space="preserve">- Helseregisterloven § 9:</w:t>
      </w:r>
      <w:r>
        <w:t xml:space="preserve"> </w:t>
      </w:r>
      <w:r>
        <w:t xml:space="preserve">“</w:t>
      </w:r>
      <w:r>
        <w:t xml:space="preserve">den registrerte samtykker</w:t>
      </w:r>
      <w:r>
        <w:t xml:space="preserve">”</w:t>
      </w:r>
      <w:r>
        <w:t xml:space="preserve"> </w:t>
      </w:r>
      <w:r>
        <w:t xml:space="preserve">som selvstendig grunnlag for behandling</w:t>
      </w:r>
      <w:r>
        <w:t xml:space="preserve"> </w:t>
      </w:r>
      <w:r>
        <w:t xml:space="preserve">- Helseforskningsloven § 13: Samtykke som hovedregel for medisinsk og helsefaglig forskning</w:t>
      </w:r>
      <w:r>
        <w:t xml:space="preserve"> </w:t>
      </w:r>
      <w:r>
        <w:t xml:space="preserve">- Helseregisterloven § 19a: Krav om at mottaker kan godtgjøre rettslig grunnlag etter personvernforordningen artikkel 6 og 9</w:t>
      </w:r>
    </w:p>
    <w:bookmarkEnd w:id="21"/>
    <w:bookmarkStart w:id="22" w:name="avtale-og-fagforeningsopplysninger"/>
    <w:p>
      <w:pPr>
        <w:pStyle w:val="Heading3"/>
      </w:pPr>
      <w:r>
        <w:t xml:space="preserve">Avtale og fagforeningsopplysninger</w:t>
      </w:r>
    </w:p>
    <w:p>
      <w:pPr>
        <w:pStyle w:val="FirstParagraph"/>
      </w:pPr>
      <w:r>
        <w:t xml:space="preserve">For behandling basert på avtale (artikkel 6 nr. 1 bokstav b) kombinert med fagforeningsopplysninger (artikkel 9 nr. 2 bokstav d), gjelder særlige regler. GDPR artikkel 9 nr. 2 bokstav d) tillater behandling av fagforeningsopplysninger når:</w:t>
      </w:r>
    </w:p>
    <w:p>
      <w:pPr>
        <w:pStyle w:val="BlockText"/>
      </w:pPr>
      <w:r>
        <w:t xml:space="preserve">“</w:t>
      </w:r>
      <w:r>
        <w:t xml:space="preserve">behandlingen utføres av en stiftelse, sammenslutning eller et annet ideelt organ som har et politisk, filosofisk, religiøst eller fagforeningsmessig formål […] eller behandlingen gjelder personopplysninger som tydelig er offentliggjort av den registrerte</w:t>
      </w:r>
      <w:r>
        <w:t xml:space="preserve">”</w:t>
      </w:r>
    </w:p>
    <w:p>
      <w:pPr>
        <w:pStyle w:val="FirstParagraph"/>
      </w:pPr>
      <w:r>
        <w:t xml:space="preserve">Personopplysningsloven § 6 gir supplerende hjemmel for arbeidsforhold:</w:t>
      </w:r>
    </w:p>
    <w:p>
      <w:pPr>
        <w:pStyle w:val="BlockText"/>
      </w:pPr>
      <w:r>
        <w:t xml:space="preserve">“</w:t>
      </w:r>
      <w:r>
        <w:t xml:space="preserve">Personopplysninger som nevnt i personvernforordningen artikkel 9 nr. 1 kan behandles når det er nødvendig for å gjennomføre arbeidsrettslige plikter eller rettigheter.</w:t>
      </w:r>
      <w:r>
        <w:t xml:space="preserve">”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9" w:name="analyse-av-postene"/>
    <w:p>
      <w:pPr>
        <w:pStyle w:val="Heading2"/>
      </w:pPr>
      <w:r>
        <w:t xml:space="preserve">Analyse av Postene</w:t>
      </w:r>
    </w:p>
    <w:bookmarkStart w:id="24" w:name="post-1-forskning-med-samtykke"/>
    <w:p>
      <w:pPr>
        <w:pStyle w:val="Heading3"/>
      </w:pPr>
      <w:r>
        <w:t xml:space="preserve">Post 1: Forskning med samtykke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Verdi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Forskning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Personopplysninger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6 nr. 1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Særlige kategorier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9 nr. 2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Supplerende rettsgrunnlag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</w:tbl>
    <w:p>
      <w:pPr>
        <w:pStyle w:val="BodyText"/>
      </w:pPr>
      <w:r>
        <w:rPr>
          <w:bCs/>
          <w:b/>
        </w:rPr>
        <w:t xml:space="preserve">Vurdering:</w:t>
      </w:r>
      <w:r>
        <w:t xml:space="preserve"> </w:t>
      </w:r>
      <w:r>
        <w:t xml:space="preserve">Samtykke er et selvstendig rettsgrunnlag som ikke krever supplerende hjemmel i norsk lov. Helseforskningsloven § 13 bekrefter at samtykke er hovedregelen for medisinsk og helsefaglig forskning, men dette er en prosessuell regel, ikke et krav om supplerende hjemmel.</w:t>
      </w:r>
    </w:p>
    <w:p>
      <w:pPr>
        <w:pStyle w:val="BodyText"/>
      </w:pPr>
      <w:r>
        <w:rPr>
          <w:bCs/>
          <w:b/>
        </w:rPr>
        <w:t xml:space="preserve">Konklusjon: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er</w:t>
      </w:r>
      <w:r>
        <w:t xml:space="preserve"> </w:t>
      </w:r>
      <w:r>
        <w:rPr>
          <w:bCs/>
          <w:b/>
        </w:rPr>
        <w:t xml:space="preserve">korrekt</w:t>
      </w:r>
      <w:r>
        <w:t xml:space="preserve">. Ingen endring nødvendig.</w:t>
      </w:r>
    </w:p>
    <w:p>
      <w:r>
        <w:pict>
          <v:rect style="width:0;height:1.5pt" o:hralign="center" o:hrstd="t" o:hr="t"/>
        </w:pict>
      </w:r>
    </w:p>
    <w:bookmarkEnd w:id="24"/>
    <w:bookmarkStart w:id="25" w:name="post-3-helseanalyse-med-samtykke"/>
    <w:p>
      <w:pPr>
        <w:pStyle w:val="Heading3"/>
      </w:pPr>
      <w:r>
        <w:t xml:space="preserve">Post 3: Helseanalyse med samtykke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Verdi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Helseanalyse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Personopplysninger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6 nr. 1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Særlige kategorier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9 nr. 2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Supplerende rettsgrunnlag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</w:tbl>
    <w:p>
      <w:pPr>
        <w:pStyle w:val="BodyText"/>
      </w:pPr>
      <w:r>
        <w:rPr>
          <w:bCs/>
          <w:b/>
        </w:rPr>
        <w:t xml:space="preserve">Vurdering:</w:t>
      </w:r>
      <w:r>
        <w:t xml:space="preserve"> </w:t>
      </w:r>
      <w:r>
        <w:t xml:space="preserve">Tilsvarende Post 1. Samtykkebasert behandling av helseopplysninger for helseanalyse krever ikke supplerende rettsgrunnlag utover GDPR-bestemmelsene. Helseregisterloven § 9 anerkjenner samtykke som selvstendig grunnlag.</w:t>
      </w:r>
    </w:p>
    <w:p>
      <w:pPr>
        <w:pStyle w:val="BodyText"/>
      </w:pPr>
      <w:r>
        <w:rPr>
          <w:bCs/>
          <w:b/>
        </w:rPr>
        <w:t xml:space="preserve">Konklusjon: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er</w:t>
      </w:r>
      <w:r>
        <w:t xml:space="preserve"> </w:t>
      </w:r>
      <w:r>
        <w:rPr>
          <w:bCs/>
          <w:b/>
        </w:rPr>
        <w:t xml:space="preserve">korrekt</w:t>
      </w:r>
      <w:r>
        <w:t xml:space="preserve">. Ingen endring nødvendig.</w:t>
      </w:r>
    </w:p>
    <w:p>
      <w:r>
        <w:pict>
          <v:rect style="width:0;height:1.5pt" o:hralign="center" o:hrstd="t" o:hr="t"/>
        </w:pict>
      </w:r>
    </w:p>
    <w:bookmarkEnd w:id="25"/>
    <w:bookmarkStart w:id="26" w:name="X85348d46d3d797a81a5cb143ff40b7a190a2cc1"/>
    <w:p>
      <w:pPr>
        <w:pStyle w:val="Heading3"/>
      </w:pPr>
      <w:r>
        <w:t xml:space="preserve">Post 6: Kvalitetssikringsprosjekter med samtykke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Verdi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Kvalitetssikringsprosjekter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Personopplysninger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6 nr. 1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Særlige kategorier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9 nr. 2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Supplerende rettsgrunnlag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</w:tbl>
    <w:p>
      <w:pPr>
        <w:pStyle w:val="BodyText"/>
      </w:pPr>
      <w:r>
        <w:rPr>
          <w:bCs/>
          <w:b/>
        </w:rPr>
        <w:t xml:space="preserve">Vurdering:</w:t>
      </w:r>
      <w:r>
        <w:t xml:space="preserve"> </w:t>
      </w:r>
      <w:r>
        <w:t xml:space="preserve">Kvalitetssikringsprosjekter basert på samtykke følger samme logikk som forskning og helseanalyse. Samtykket er tilstrekkelig rettsgrunnlag.</w:t>
      </w:r>
    </w:p>
    <w:p>
      <w:pPr>
        <w:pStyle w:val="BodyText"/>
      </w:pPr>
      <w:r>
        <w:rPr>
          <w:bCs/>
          <w:b/>
        </w:rPr>
        <w:t xml:space="preserve">Konklusjon: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er</w:t>
      </w:r>
      <w:r>
        <w:t xml:space="preserve"> </w:t>
      </w:r>
      <w:r>
        <w:rPr>
          <w:bCs/>
          <w:b/>
        </w:rPr>
        <w:t xml:space="preserve">korrekt</w:t>
      </w:r>
      <w:r>
        <w:t xml:space="preserve">. Ingen endring nødvendig.</w:t>
      </w:r>
    </w:p>
    <w:p>
      <w:r>
        <w:pict>
          <v:rect style="width:0;height:1.5pt" o:hralign="center" o:hrstd="t" o:hr="t"/>
        </w:pict>
      </w:r>
    </w:p>
    <w:bookmarkEnd w:id="26"/>
    <w:bookmarkStart w:id="27" w:name="X3adf9e1a54f2211aacee9e4eb25eed70f7aaf54"/>
    <w:p>
      <w:pPr>
        <w:pStyle w:val="Heading3"/>
      </w:pPr>
      <w:r>
        <w:t xml:space="preserve">Post 12: Administrative systemer med samtykke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Verdi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Administrative systemer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Personopplysninger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6 nr. 1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Særlige kategorier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Samtykke, ref. GDPR artikkel 9 nr. 2 a)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Supplerende rettsgrunnlag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</w:tbl>
    <w:p>
      <w:pPr>
        <w:pStyle w:val="BodyText"/>
      </w:pPr>
      <w:r>
        <w:rPr>
          <w:bCs/>
          <w:b/>
        </w:rPr>
        <w:t xml:space="preserve">Vurdering:</w:t>
      </w:r>
      <w:r>
        <w:t xml:space="preserve"> </w:t>
      </w:r>
      <w:r>
        <w:t xml:space="preserve">Administrative systemer som behandler særlige kategorier av personopplysninger basert på samtykke, har tilstrekkelig rettsgrunnlag i GDPR artikkel 6 nr. 1 a) og artikkel 9 nr. 2 a).</w:t>
      </w:r>
    </w:p>
    <w:p>
      <w:pPr>
        <w:pStyle w:val="BodyText"/>
      </w:pPr>
      <w:r>
        <w:rPr>
          <w:bCs/>
          <w:b/>
        </w:rPr>
        <w:t xml:space="preserve">Konklusjon: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er</w:t>
      </w:r>
      <w:r>
        <w:t xml:space="preserve"> </w:t>
      </w:r>
      <w:r>
        <w:rPr>
          <w:bCs/>
          <w:b/>
        </w:rPr>
        <w:t xml:space="preserve">korrekt</w:t>
      </w:r>
      <w:r>
        <w:t xml:space="preserve">. Ingen endring nødvendig.</w:t>
      </w:r>
    </w:p>
    <w:p>
      <w:r>
        <w:pict>
          <v:rect style="width:0;height:1.5pt" o:hralign="center" o:hrstd="t" o:hr="t"/>
        </w:pict>
      </w:r>
    </w:p>
    <w:bookmarkEnd w:id="27"/>
    <w:bookmarkStart w:id="28" w:name="Xd3f5146c9236c3fe14d13a23818cfef6c3e1693"/>
    <w:p>
      <w:pPr>
        <w:pStyle w:val="Heading3"/>
      </w:pPr>
      <w:r>
        <w:t xml:space="preserve">Post 13: Administrative systemer med avtale og fagforeningsopplysninger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655"/>
        <w:gridCol w:w="426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Felt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Verdi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Administrative systemer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Personopplysninger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Avtale som den registrerte er part i, ref. GDPR artikkel 6 nr. 1 b)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Særlige kategorier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Opplysninger om fagforeninger, ref. GDPR artikkel 9 nr. 2 d)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Supplerende rettsgrunnlag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</w:tr>
    </w:tbl>
    <w:p>
      <w:pPr>
        <w:pStyle w:val="BodyText"/>
      </w:pPr>
      <w:r>
        <w:rPr>
          <w:bCs/>
          <w:b/>
        </w:rPr>
        <w:t xml:space="preserve">Vurdering:</w:t>
      </w:r>
      <w:r>
        <w:t xml:space="preserve"> </w:t>
      </w:r>
      <w:r>
        <w:t xml:space="preserve">Dette er en mer kompleks situasjon. GDPR artikkel 9 nr. 2 bokstav d) gjelder primært behandling utført av fagforeninger selv eller ideelle organisasjoner. For arbeidsgivers behandling av fagforeningsopplysninger i administrative systemer (f.eks. lønnssystemer for trekk av fagforeningskontingent), er det mer naturlig å vise til: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Personopplysningsloven § 6</w:t>
      </w:r>
      <w:r>
        <w:t xml:space="preserve">:</w:t>
      </w:r>
      <w:r>
        <w:t xml:space="preserve"> </w:t>
      </w:r>
      <w:r>
        <w:t xml:space="preserve">“</w:t>
      </w:r>
      <w:r>
        <w:t xml:space="preserve">Personopplysninger som nevnt i personvernforordningen artikkel 9 nr. 1 kan behandles når det er nødvendig for å gjennomføre arbeidsrettslige plikter eller rettigheter.</w:t>
      </w:r>
      <w:r>
        <w:t xml:space="preserve">”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GDPR artikkel 9 nr. 2 bokstav b)</w:t>
      </w:r>
      <w:r>
        <w:t xml:space="preserve">: Behandling som er nødvendig for å oppfylle forpliktelser og utøve rettigheter på arbeidsrettens område.</w:t>
      </w:r>
    </w:p>
    <w:p>
      <w:pPr>
        <w:pStyle w:val="FirstParagraph"/>
      </w:pPr>
      <w:r>
        <w:t xml:space="preserve">Imidlertid, dersom behandlingen faktisk skjer innenfor rammen av artikkel 9 nr. 2 bokstav d) (f.eks. at den ansatte selv har offentliggjort fagforeningsmedlemskapet, eller at behandlingen skjer i forbindelse med fagforeningens egen virksomhet), kan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være korrekt.</w:t>
      </w:r>
    </w:p>
    <w:p>
      <w:pPr>
        <w:pStyle w:val="BodyText"/>
      </w:pPr>
      <w:r>
        <w:rPr>
          <w:bCs/>
          <w:b/>
        </w:rPr>
        <w:t xml:space="preserve">Konklusjon:</w:t>
      </w:r>
      <w:r>
        <w:t xml:space="preserve"> </w:t>
      </w:r>
      <w:r>
        <w:t xml:space="preserve">Situasjonen er tvetydig. Dersom behandlingen gjelder arbeidsgivers håndtering av fagforeningskontingent eller lignende arbeidsrettslige forhold, bør supplerende rettsgrunnlag være:</w:t>
      </w:r>
    </w:p>
    <w:p>
      <w:pPr>
        <w:pStyle w:val="BlockText"/>
      </w:pPr>
      <w:r>
        <w:rPr>
          <w:bCs/>
          <w:b/>
        </w:rPr>
        <w:t xml:space="preserve">Personopplysningsloven § 6</w:t>
      </w:r>
    </w:p>
    <w:p>
      <w:pPr>
        <w:pStyle w:val="FirstParagraph"/>
      </w:pPr>
      <w:r>
        <w:t xml:space="preserve">Dersom behandlingen faktisk faller inn under artikkel 9 nr. 2 bokstav d) (fagforeningens egen behandling eller offentliggjorte opplysninger), er</w:t>
      </w:r>
      <w:r>
        <w:t xml:space="preserve"> </w:t>
      </w:r>
      <w:r>
        <w:t xml:space="preserve">“</w:t>
      </w:r>
      <w:r>
        <w:t xml:space="preserve">-</w:t>
      </w:r>
      <w:r>
        <w:t xml:space="preserve">”</w:t>
      </w:r>
      <w:r>
        <w:t xml:space="preserve"> </w:t>
      </w:r>
      <w:r>
        <w:t xml:space="preserve">korrekt.</w:t>
      </w:r>
    </w:p>
    <w:p>
      <w:pPr>
        <w:pStyle w:val="BodyText"/>
      </w:pPr>
      <w:r>
        <w:rPr>
          <w:bCs/>
          <w:b/>
        </w:rPr>
        <w:t xml:space="preserve">Anbefaling:</w:t>
      </w:r>
      <w:r>
        <w:t xml:space="preserve"> </w:t>
      </w:r>
      <w:r>
        <w:t xml:space="preserve">Avklar behandlingens art. For typiske arbeidsgiverfunksjoner, endre til</w:t>
      </w:r>
      <w:r>
        <w:t xml:space="preserve"> </w:t>
      </w:r>
      <w:r>
        <w:t xml:space="preserve">“</w:t>
      </w:r>
      <w:r>
        <w:t xml:space="preserve">Personopplysningsloven § 6</w:t>
      </w:r>
      <w:r>
        <w:t xml:space="preserve">”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28"/>
    <w:bookmarkEnd w:id="29"/>
    <w:bookmarkStart w:id="30" w:name="oppsummering"/>
    <w:p>
      <w:pPr>
        <w:pStyle w:val="Heading2"/>
      </w:pPr>
      <w:r>
        <w:t xml:space="preserve">Oppsummering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766"/>
        <w:gridCol w:w="1277"/>
        <w:gridCol w:w="2171"/>
        <w:gridCol w:w="2043"/>
        <w:gridCol w:w="16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Post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Kategori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Nåværende verdi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Anbefalt verdi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Begrunnelse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Forskning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 er selvstendig rettsgrunnlag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Helseanalyse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 er selvstendig rettsgrunnlag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Kvalitetssikring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 er selvstendig rettsgrunnlag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Administrative systemer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Samtykke er selvstendig rettsgrunnlag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Administrative systemer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-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Personopplysningsloven § 6*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*Avhengig av behandlingens art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0"/>
    <w:bookmarkStart w:id="31" w:name="rettskilder"/>
    <w:p>
      <w:pPr>
        <w:pStyle w:val="Heading2"/>
      </w:pPr>
      <w:r>
        <w:t xml:space="preserve">Rettskilder</w:t>
      </w:r>
    </w:p>
    <w:p>
      <w:pPr>
        <w:numPr>
          <w:ilvl w:val="0"/>
          <w:numId w:val="1002"/>
        </w:numPr>
        <w:pStyle w:val="Compact"/>
      </w:pPr>
      <w:r>
        <w:t xml:space="preserve">Personvernforordningen (GDPR) artikkel 6 og 9</w:t>
      </w:r>
    </w:p>
    <w:p>
      <w:pPr>
        <w:numPr>
          <w:ilvl w:val="0"/>
          <w:numId w:val="1002"/>
        </w:numPr>
        <w:pStyle w:val="Compact"/>
      </w:pPr>
      <w:r>
        <w:t xml:space="preserve">Personopplysningsloven (lov 15. juni 2018 nr. 38) § 6</w:t>
      </w:r>
    </w:p>
    <w:p>
      <w:pPr>
        <w:numPr>
          <w:ilvl w:val="0"/>
          <w:numId w:val="1002"/>
        </w:numPr>
        <w:pStyle w:val="Compact"/>
      </w:pPr>
      <w:r>
        <w:t xml:space="preserve">Helseregisterloven (lov 20. juni 2014 nr. 43) §§ 2, 9, 19a</w:t>
      </w:r>
    </w:p>
    <w:p>
      <w:pPr>
        <w:numPr>
          <w:ilvl w:val="0"/>
          <w:numId w:val="1002"/>
        </w:numPr>
        <w:pStyle w:val="Compact"/>
      </w:pPr>
      <w:r>
        <w:t xml:space="preserve">Helseforskningsloven (lov 20. juni 2008 nr. 44) § 13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Cs/>
          <w:i/>
        </w:rPr>
        <w:t xml:space="preserve">Rapport utarbeidet: 12. januar 2026</w:t>
      </w:r>
    </w:p>
    <w:bookmarkEnd w:id="31"/>
    <w:bookmarkEnd w:id="32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2026-01-12T15:48:02Z</dcterms:created>
  <dcterms:modified xsi:type="dcterms:W3CDTF">2026-01-12T15:48:02Z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