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48" w:name="X4cdbb7a3dab0f45a930ddd6c47464c29bd38dd5"/>
    <w:p>
      <w:pPr>
        <w:pStyle w:val="Heading1"/>
      </w:pPr>
      <w:r>
        <w:t xml:space="preserve">Folkehelseinstituttets rettslige grunnlag i norsk lov</w:t>
      </w:r>
    </w:p>
    <w:p>
      <w:pPr>
        <w:pStyle w:val="FirstParagraph"/>
      </w:pPr>
      <w:r>
        <w:rPr>
          <w:iCs/>
          <w:i/>
        </w:rPr>
        <w:t xml:space="preserve">Systematisk oversikt over lover og forskrifter som regulerer FHIs virksomhet</w:t>
      </w:r>
    </w:p>
    <w:p>
      <w:pPr>
        <w:pStyle w:val="BodyText"/>
      </w:pPr>
      <w:r>
        <w:rPr>
          <w:bCs/>
          <w:b/>
        </w:rPr>
        <w:t xml:space="preserve">Sist oppdatert:</w:t>
      </w:r>
      <w:r>
        <w:t xml:space="preserve"> </w:t>
      </w:r>
      <w:r>
        <w:t xml:space="preserve">Januar 2026</w:t>
      </w:r>
      <w:r>
        <w:br/>
      </w:r>
      <w:r>
        <w:rPr>
          <w:bCs/>
          <w:b/>
        </w:rPr>
        <w:t xml:space="preserve">Kilder:</w:t>
      </w:r>
      <w:r>
        <w:t xml:space="preserve"> </w:t>
      </w:r>
      <w:r>
        <w:t xml:space="preserve">Lovdata (offisielle lovtekster)</w:t>
      </w:r>
    </w:p>
    <w:p>
      <w:r>
        <w:pict>
          <v:rect style="width:0;height:1.5pt" o:hralign="center" o:hrstd="t" o:hr="t"/>
        </w:pict>
      </w:r>
    </w:p>
    <w:bookmarkStart w:id="20" w:name="innholdsfortegnelse"/>
    <w:p>
      <w:pPr>
        <w:pStyle w:val="Heading2"/>
      </w:pPr>
      <w:r>
        <w:t xml:space="preserve">Innholdsfortegnelse</w:t>
      </w:r>
    </w:p>
    <w:p>
      <w:pPr>
        <w:numPr>
          <w:ilvl w:val="0"/>
          <w:numId w:val="1001"/>
        </w:numPr>
        <w:pStyle w:val="Compact"/>
      </w:pPr>
      <w:hyperlink w:anchor="sammendrag">
        <w:r>
          <w:rPr>
            <w:rStyle w:val="Hyperlink"/>
          </w:rPr>
          <w:t xml:space="preserve">Sammendrag</w:t>
        </w:r>
      </w:hyperlink>
    </w:p>
    <w:p>
      <w:pPr>
        <w:numPr>
          <w:ilvl w:val="0"/>
          <w:numId w:val="1001"/>
        </w:numPr>
        <w:pStyle w:val="Compact"/>
      </w:pPr>
      <w:hyperlink w:anchor="primærlovgivning">
        <w:r>
          <w:rPr>
            <w:rStyle w:val="Hyperlink"/>
          </w:rPr>
          <w:t xml:space="preserve">Primærlovgivning</w:t>
        </w:r>
      </w:hyperlink>
    </w:p>
    <w:p>
      <w:pPr>
        <w:numPr>
          <w:ilvl w:val="1"/>
          <w:numId w:val="1002"/>
        </w:numPr>
        <w:pStyle w:val="Compact"/>
      </w:pPr>
      <w:hyperlink w:anchor="folkehelseloven">
        <w:r>
          <w:rPr>
            <w:rStyle w:val="Hyperlink"/>
          </w:rPr>
          <w:t xml:space="preserve">Folkehelseloven</w:t>
        </w:r>
      </w:hyperlink>
    </w:p>
    <w:p>
      <w:pPr>
        <w:numPr>
          <w:ilvl w:val="1"/>
          <w:numId w:val="1002"/>
        </w:numPr>
        <w:pStyle w:val="Compact"/>
      </w:pPr>
      <w:hyperlink w:anchor="smittevernloven">
        <w:r>
          <w:rPr>
            <w:rStyle w:val="Hyperlink"/>
          </w:rPr>
          <w:t xml:space="preserve">Smittevernloven</w:t>
        </w:r>
      </w:hyperlink>
    </w:p>
    <w:p>
      <w:pPr>
        <w:numPr>
          <w:ilvl w:val="1"/>
          <w:numId w:val="1002"/>
        </w:numPr>
        <w:pStyle w:val="Compact"/>
      </w:pPr>
      <w:hyperlink w:anchor="helseregisterloven">
        <w:r>
          <w:rPr>
            <w:rStyle w:val="Hyperlink"/>
          </w:rPr>
          <w:t xml:space="preserve">Helseregisterloven</w:t>
        </w:r>
      </w:hyperlink>
    </w:p>
    <w:p>
      <w:pPr>
        <w:numPr>
          <w:ilvl w:val="0"/>
          <w:numId w:val="1001"/>
        </w:numPr>
        <w:pStyle w:val="Compact"/>
      </w:pPr>
      <w:hyperlink w:anchor="helseregistre---fhi-som-dataansvarlig">
        <w:r>
          <w:rPr>
            <w:rStyle w:val="Hyperlink"/>
          </w:rPr>
          <w:t xml:space="preserve">Helseregistre - FHI som dataansvarlig</w:t>
        </w:r>
      </w:hyperlink>
    </w:p>
    <w:p>
      <w:pPr>
        <w:numPr>
          <w:ilvl w:val="0"/>
          <w:numId w:val="1001"/>
        </w:numPr>
        <w:pStyle w:val="Compact"/>
      </w:pPr>
      <w:hyperlink w:anchor="internasjonale-forpliktelser">
        <w:r>
          <w:rPr>
            <w:rStyle w:val="Hyperlink"/>
          </w:rPr>
          <w:t xml:space="preserve">Internasjonale forpliktelser</w:t>
        </w:r>
      </w:hyperlink>
    </w:p>
    <w:p>
      <w:pPr>
        <w:numPr>
          <w:ilvl w:val="0"/>
          <w:numId w:val="1001"/>
        </w:numPr>
        <w:pStyle w:val="Compact"/>
      </w:pPr>
      <w:hyperlink w:anchor="øvrige-hjemler">
        <w:r>
          <w:rPr>
            <w:rStyle w:val="Hyperlink"/>
          </w:rPr>
          <w:t xml:space="preserve">Øvrige hjemler</w:t>
        </w:r>
      </w:hyperlink>
    </w:p>
    <w:p>
      <w:r>
        <w:pict>
          <v:rect style="width:0;height:1.5pt" o:hralign="center" o:hrstd="t" o:hr="t"/>
        </w:pict>
      </w:r>
    </w:p>
    <w:bookmarkEnd w:id="20"/>
    <w:bookmarkStart w:id="21" w:name="sammendrag"/>
    <w:p>
      <w:pPr>
        <w:pStyle w:val="Heading2"/>
      </w:pPr>
      <w:r>
        <w:t xml:space="preserve">Sammendrag</w:t>
      </w:r>
    </w:p>
    <w:p>
      <w:pPr>
        <w:pStyle w:val="FirstParagraph"/>
      </w:pPr>
      <w:r>
        <w:t xml:space="preserve">Folkehelseinstituttet (FHI) har sitt rettslige grunnlag primært i tre lover:</w:t>
      </w:r>
    </w:p>
    <w:tbl>
      <w:tblPr>
        <w:tblStyle w:val="Table"/>
        <w:tblW w:type="pct" w:w="5000"/>
        <w:tblLook w:firstRow="1" w:lastRow="0" w:firstColumn="0" w:lastColumn="0" w:noHBand="0" w:noVBand="0" w:val="0020"/>
        <w:jc w:val="start"/>
      </w:tblPr>
      <w:tblGrid>
        <w:gridCol w:w="1131"/>
        <w:gridCol w:w="3168"/>
        <w:gridCol w:w="3620"/>
      </w:tblGrid>
      <w:tr>
        <w:trPr>
          <w:tblHeader w:val="true"/>
        </w:trPr>
        <w:tc>
          <w:tcPr/>
          <w:p>
            <w:pPr>
              <w:pStyle w:val="Compact"/>
              <w:jc w:val="left"/>
            </w:pPr>
            <w:r>
              <w:t xml:space="preserve">Lov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Hovedhjemmel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Kjerneoppgaver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Cs/>
                <w:b/>
              </w:rPr>
              <w:t xml:space="preserve">Folkehelseloven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§ 25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Overvåking, rådgivning, beredskap, forskning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Cs/>
                <w:b/>
              </w:rPr>
              <w:t xml:space="preserve">Smittevernloven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§§ 7-9, 7-10, 7-11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Smittevernberedskap, vaksinasjon, epidemiologisk overvåking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Cs/>
                <w:b/>
              </w:rPr>
              <w:t xml:space="preserve">Helseregisterloven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§ 8-11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Dataansvar for sentrale helseregistre</w:t>
            </w:r>
          </w:p>
        </w:tc>
      </w:tr>
    </w:tbl>
    <w:p>
      <w:pPr>
        <w:pStyle w:val="BodyText"/>
      </w:pPr>
      <w:r>
        <w:t xml:space="preserve">FHI er</w:t>
      </w:r>
      <w:r>
        <w:t xml:space="preserve"> </w:t>
      </w:r>
      <w:r>
        <w:rPr>
          <w:bCs/>
          <w:b/>
        </w:rPr>
        <w:t xml:space="preserve">dataansvarlig</w:t>
      </w:r>
      <w:r>
        <w:t xml:space="preserve"> </w:t>
      </w:r>
      <w:r>
        <w:t xml:space="preserve">for 14+ sentrale helseregistre og har</w:t>
      </w:r>
      <w:r>
        <w:t xml:space="preserve"> </w:t>
      </w:r>
      <w:r>
        <w:rPr>
          <w:bCs/>
          <w:b/>
        </w:rPr>
        <w:t xml:space="preserve">nasjonalt ansvar</w:t>
      </w:r>
      <w:r>
        <w:t xml:space="preserve"> </w:t>
      </w:r>
      <w:r>
        <w:t xml:space="preserve">for smittevernberedskap og folkehelseovervåking.</w:t>
      </w:r>
    </w:p>
    <w:p>
      <w:r>
        <w:pict>
          <v:rect style="width:0;height:1.5pt" o:hralign="center" o:hrstd="t" o:hr="t"/>
        </w:pict>
      </w:r>
    </w:p>
    <w:bookmarkEnd w:id="21"/>
    <w:bookmarkStart w:id="30" w:name="primærlovgivning"/>
    <w:p>
      <w:pPr>
        <w:pStyle w:val="Heading2"/>
      </w:pPr>
      <w:r>
        <w:t xml:space="preserve">Primærlovgivning</w:t>
      </w:r>
    </w:p>
    <w:bookmarkStart w:id="23" w:name="folkehelseloven"/>
    <w:p>
      <w:pPr>
        <w:pStyle w:val="Heading3"/>
      </w:pPr>
      <w:r>
        <w:t xml:space="preserve">Folkehelseloven</w:t>
      </w:r>
    </w:p>
    <w:p>
      <w:pPr>
        <w:pStyle w:val="FirstParagraph"/>
      </w:pPr>
      <w:r>
        <w:rPr>
          <w:bCs/>
          <w:b/>
        </w:rPr>
        <w:t xml:space="preserve">Lov om folkehelsearbeid (folkehelseloven)</w:t>
      </w:r>
      <w:r>
        <w:br/>
      </w:r>
      <w:r>
        <w:rPr>
          <w:iCs/>
          <w:i/>
        </w:rPr>
        <w:t xml:space="preserve">LOV-2011-06-24-29</w:t>
      </w:r>
    </w:p>
    <w:bookmarkStart w:id="22" w:name="folkehelseinstituttets-oppgaver"/>
    <w:p>
      <w:pPr>
        <w:pStyle w:val="Heading4"/>
      </w:pPr>
      <w:r>
        <w:t xml:space="preserve">§ 25 - Folkehelseinstituttets oppgaver</w:t>
      </w:r>
    </w:p>
    <w:p>
      <w:pPr>
        <w:pStyle w:val="FirstParagraph"/>
      </w:pPr>
      <w:r>
        <w:t xml:space="preserve">Folkehelseinstituttet skal:</w:t>
      </w:r>
    </w:p>
    <w:tbl>
      <w:tblPr>
        <w:tblStyle w:val="Table"/>
        <w:tblW w:type="pct" w:w="5000"/>
        <w:tblLook w:firstRow="1" w:lastRow="0" w:firstColumn="0" w:lastColumn="0" w:noHBand="0" w:noVBand="0" w:val="0020"/>
        <w:jc w:val="start"/>
      </w:tblPr>
      <w:tblGrid>
        <w:gridCol w:w="3240"/>
        <w:gridCol w:w="4680"/>
      </w:tblGrid>
      <w:tr>
        <w:trPr>
          <w:tblHeader w:val="true"/>
        </w:trPr>
        <w:tc>
          <w:tcPr/>
          <w:p>
            <w:pPr>
              <w:pStyle w:val="Compact"/>
              <w:jc w:val="left"/>
            </w:pPr>
            <w:r>
              <w:t xml:space="preserve">Oppgave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Beskrivelse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Cs/>
                <w:b/>
              </w:rPr>
              <w:t xml:space="preserve">Overvåke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Overvåke utviklingen av folkehelsen og faktorer som påvirker denne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Cs/>
                <w:b/>
              </w:rPr>
              <w:t xml:space="preserve">Utrede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Utrede og forske på forhold som påvirker folkehelsen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Cs/>
                <w:b/>
              </w:rPr>
              <w:t xml:space="preserve">Samle inn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Samle inn, bearbeide og formidle kunnskap for folkehelsearbeidet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Cs/>
                <w:b/>
              </w:rPr>
              <w:t xml:space="preserve">Gi råd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Gi råd og veiledning til kommuner, fylkeskommuner og statlige institusjoner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Cs/>
                <w:b/>
              </w:rPr>
              <w:t xml:space="preserve">Beredskap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Ha beredskap og bistå ved utbrudd av smittsomme sykdommer og andre kriser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Cs/>
                <w:b/>
              </w:rPr>
              <w:t xml:space="preserve">Vaksinasjon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Sørge for nødvendig vaksineforsyning og vaksineberedskap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Cs/>
                <w:b/>
              </w:rPr>
              <w:t xml:space="preserve">Internasjonalt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Delta i internasjonalt folkehelsearbeid</w:t>
            </w:r>
          </w:p>
        </w:tc>
      </w:tr>
    </w:tbl>
    <w:p>
      <w:pPr>
        <w:pStyle w:val="BodyText"/>
      </w:pPr>
      <w:r>
        <w:rPr>
          <w:bCs/>
          <w:b/>
        </w:rPr>
        <w:t xml:space="preserve">Hjemmel:</w:t>
      </w:r>
      <w:r>
        <w:t xml:space="preserve"> </w:t>
      </w:r>
      <w:r>
        <w:t xml:space="preserve">Folkehelseloven § 25</w:t>
      </w:r>
      <w:r>
        <w:br/>
      </w:r>
      <w:r>
        <w:rPr>
          <w:bCs/>
          <w:b/>
        </w:rPr>
        <w:t xml:space="preserve">Bemerkning:</w:t>
      </w:r>
      <w:r>
        <w:t xml:space="preserve"> </w:t>
      </w:r>
      <w:r>
        <w:t xml:space="preserve">Departementet kan i forskrift gi nærmere bestemmelser om Folkehelseinstituttets oppgaver.</w:t>
      </w:r>
    </w:p>
    <w:p>
      <w:r>
        <w:pict>
          <v:rect style="width:0;height:1.5pt" o:hralign="center" o:hrstd="t" o:hr="t"/>
        </w:pict>
      </w:r>
    </w:p>
    <w:bookmarkEnd w:id="22"/>
    <w:bookmarkEnd w:id="23"/>
    <w:bookmarkStart w:id="27" w:name="smittevernloven"/>
    <w:p>
      <w:pPr>
        <w:pStyle w:val="Heading3"/>
      </w:pPr>
      <w:r>
        <w:t xml:space="preserve">Smittevernloven</w:t>
      </w:r>
    </w:p>
    <w:p>
      <w:pPr>
        <w:pStyle w:val="FirstParagraph"/>
      </w:pPr>
      <w:r>
        <w:rPr>
          <w:bCs/>
          <w:b/>
        </w:rPr>
        <w:t xml:space="preserve">Lov om vern mot smittsomme sykdommer (smittevernloven)</w:t>
      </w:r>
      <w:r>
        <w:br/>
      </w:r>
      <w:r>
        <w:rPr>
          <w:iCs/>
          <w:i/>
        </w:rPr>
        <w:t xml:space="preserve">LOV-1994-08-05-55</w:t>
      </w:r>
    </w:p>
    <w:bookmarkStart w:id="24" w:name="folkehelseinstituttets-oppgaver-1"/>
    <w:p>
      <w:pPr>
        <w:pStyle w:val="Heading4"/>
      </w:pPr>
      <w:r>
        <w:t xml:space="preserve">§ 7-9 - Folkehelseinstituttets oppgaver</w:t>
      </w:r>
    </w:p>
    <w:p>
      <w:pPr>
        <w:pStyle w:val="FirstParagraph"/>
      </w:pPr>
      <w:r>
        <w:t xml:space="preserve">Folkehelseinstituttet skal:</w:t>
      </w:r>
    </w:p>
    <w:tbl>
      <w:tblPr>
        <w:tblStyle w:val="Table"/>
        <w:tblW w:type="pct" w:w="5000"/>
        <w:tblLook w:firstRow="1" w:lastRow="0" w:firstColumn="0" w:lastColumn="0" w:noHBand="0" w:noVBand="0" w:val="0020"/>
        <w:jc w:val="start"/>
      </w:tblPr>
      <w:tblGrid>
        <w:gridCol w:w="3960"/>
        <w:gridCol w:w="3960"/>
      </w:tblGrid>
      <w:tr>
        <w:trPr>
          <w:tblHeader w:val="true"/>
        </w:trPr>
        <w:tc>
          <w:tcPr/>
          <w:p>
            <w:pPr>
              <w:pStyle w:val="Compact"/>
              <w:jc w:val="left"/>
            </w:pPr>
            <w:r>
              <w:t xml:space="preserve">Oppgave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Hjemmel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Overvåke den nasjonale og internasjonale epidemiologiske situasjonen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§ 7-9 første ledd bokstav a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Utføre helseanalyser og drive forskning på smittevernområdet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§ 7-9 første ledd bokstav b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Sikre nødvendig vaksineforsyning og vaksineberedskap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§ 7-9 første ledd bokstav c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Gi bistand, råd og veiledning til kommunale, fylkeskommunale og statlige institusjoner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§ 7-9 første ledd bokstav d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Gi informasjon til befolkningen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§ 7-9 første ledd bokstav e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Delta i internasjonalt smittevernarbeid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§ 7-9 første ledd bokstav f</w:t>
            </w:r>
          </w:p>
        </w:tc>
      </w:tr>
    </w:tbl>
    <w:p>
      <w:pPr>
        <w:pStyle w:val="BodyText"/>
      </w:pPr>
      <w:r>
        <w:rPr>
          <w:bCs/>
          <w:b/>
        </w:rPr>
        <w:t xml:space="preserve">Særlig om vaksinasjon:</w:t>
      </w:r>
      <w:r>
        <w:t xml:space="preserve"> </w:t>
      </w:r>
      <w:r>
        <w:t xml:space="preserve">FHI skal sørge for at det finnes et nasjonalt vaksinasjonsprogram og at det er tilgang på vaksiner som inngår i programmet.</w:t>
      </w:r>
    </w:p>
    <w:bookmarkEnd w:id="24"/>
    <w:bookmarkStart w:id="25" w:name="varslingsplikt-og-bistandsplikt"/>
    <w:p>
      <w:pPr>
        <w:pStyle w:val="Heading4"/>
      </w:pPr>
      <w:r>
        <w:t xml:space="preserve">§ 7-10 - Varslingsplikt og bistandsplikt</w:t>
      </w:r>
    </w:p>
    <w:p>
      <w:pPr>
        <w:numPr>
          <w:ilvl w:val="0"/>
          <w:numId w:val="1003"/>
        </w:numPr>
        <w:pStyle w:val="Compact"/>
      </w:pPr>
      <w:r>
        <w:t xml:space="preserve">Folkehelseinstituttet skal</w:t>
      </w:r>
      <w:r>
        <w:t xml:space="preserve"> </w:t>
      </w:r>
      <w:r>
        <w:rPr>
          <w:bCs/>
          <w:b/>
        </w:rPr>
        <w:t xml:space="preserve">varsles</w:t>
      </w:r>
      <w:r>
        <w:t xml:space="preserve"> </w:t>
      </w:r>
      <w:r>
        <w:t xml:space="preserve">om utbrudd av smittsomme sykdommer</w:t>
      </w:r>
    </w:p>
    <w:p>
      <w:pPr>
        <w:numPr>
          <w:ilvl w:val="0"/>
          <w:numId w:val="1003"/>
        </w:numPr>
        <w:pStyle w:val="Compact"/>
      </w:pPr>
      <w:r>
        <w:t xml:space="preserve">FHI har</w:t>
      </w:r>
      <w:r>
        <w:t xml:space="preserve"> </w:t>
      </w:r>
      <w:r>
        <w:rPr>
          <w:bCs/>
          <w:b/>
        </w:rPr>
        <w:t xml:space="preserve">bistandsplikt</w:t>
      </w:r>
      <w:r>
        <w:t xml:space="preserve"> </w:t>
      </w:r>
      <w:r>
        <w:t xml:space="preserve">overfor kommuner ved utbrudd</w:t>
      </w:r>
    </w:p>
    <w:p>
      <w:pPr>
        <w:numPr>
          <w:ilvl w:val="0"/>
          <w:numId w:val="1003"/>
        </w:numPr>
        <w:pStyle w:val="Compact"/>
      </w:pPr>
      <w:r>
        <w:t xml:space="preserve">FHI kan gi</w:t>
      </w:r>
      <w:r>
        <w:t xml:space="preserve"> </w:t>
      </w:r>
      <w:r>
        <w:rPr>
          <w:bCs/>
          <w:b/>
        </w:rPr>
        <w:t xml:space="preserve">pålegg</w:t>
      </w:r>
      <w:r>
        <w:t xml:space="preserve"> </w:t>
      </w:r>
      <w:r>
        <w:t xml:space="preserve">om tiltak ved alvorlige utbrudd</w:t>
      </w:r>
    </w:p>
    <w:bookmarkEnd w:id="25"/>
    <w:bookmarkStart w:id="26" w:name="nasjonalt-folkehelseinstitutt"/>
    <w:p>
      <w:pPr>
        <w:pStyle w:val="Heading4"/>
      </w:pPr>
      <w:r>
        <w:t xml:space="preserve">§ 7-11 - Nasjonalt folkehelseinstitutt</w:t>
      </w:r>
    </w:p>
    <w:p>
      <w:pPr>
        <w:pStyle w:val="FirstParagraph"/>
      </w:pPr>
      <w:r>
        <w:t xml:space="preserve">Bestemmelsen fastsetter FHIs organisatoriske rolle som statlig forvaltningsorgan under Helse- og omsorgsdepartementet.</w:t>
      </w:r>
    </w:p>
    <w:p>
      <w:r>
        <w:pict>
          <v:rect style="width:0;height:1.5pt" o:hralign="center" o:hrstd="t" o:hr="t"/>
        </w:pict>
      </w:r>
    </w:p>
    <w:bookmarkEnd w:id="26"/>
    <w:bookmarkEnd w:id="27"/>
    <w:bookmarkStart w:id="29" w:name="helseregisterloven"/>
    <w:p>
      <w:pPr>
        <w:pStyle w:val="Heading3"/>
      </w:pPr>
      <w:r>
        <w:t xml:space="preserve">Helseregisterloven</w:t>
      </w:r>
    </w:p>
    <w:p>
      <w:pPr>
        <w:pStyle w:val="FirstParagraph"/>
      </w:pPr>
      <w:r>
        <w:rPr>
          <w:bCs/>
          <w:b/>
        </w:rPr>
        <w:t xml:space="preserve">Lov om helseregistre og behandling av helseopplysninger (helseregisterloven)</w:t>
      </w:r>
      <w:r>
        <w:br/>
      </w:r>
      <w:r>
        <w:rPr>
          <w:iCs/>
          <w:i/>
        </w:rPr>
        <w:t xml:space="preserve">LOV-2014-06-20-43</w:t>
      </w:r>
    </w:p>
    <w:bookmarkStart w:id="28" w:name="relevante-bestemmelser"/>
    <w:p>
      <w:pPr>
        <w:pStyle w:val="Heading4"/>
      </w:pPr>
      <w:r>
        <w:t xml:space="preserve">Relevante bestemmelser</w:t>
      </w:r>
    </w:p>
    <w:tbl>
      <w:tblPr>
        <w:tblStyle w:val="Table"/>
        <w:tblW w:type="auto" w:w="0"/>
        <w:tblLook w:firstRow="1" w:lastRow="0" w:firstColumn="0" w:lastColumn="0" w:noHBand="0" w:noVBand="0" w:val="0020"/>
        <w:jc w:val="start"/>
      </w:tblPr>
      <w:tblGrid>
        <w:gridCol w:w="3960"/>
        <w:gridCol w:w="3960"/>
      </w:tblGrid>
      <w:tr>
        <w:trPr>
          <w:tblHeader w:val="true"/>
        </w:trPr>
        <w:tc>
          <w:tcPr/>
          <w:p>
            <w:pPr>
              <w:pStyle w:val="Compact"/>
              <w:jc w:val="left"/>
            </w:pPr>
            <w:r>
              <w:t xml:space="preserve">Paragraf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Innhold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§ 8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Hjemmel for sentrale helseregistre uten samtykke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§ 9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Krav til formål og nødvendighet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§ 10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Opplysninger som kan registreres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§ 11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Meldeplikt til helseregistre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§ 12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Innsynsrett for registrerte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§ 13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Dataansvarliges plikter</w:t>
            </w:r>
          </w:p>
        </w:tc>
      </w:tr>
    </w:tbl>
    <w:p>
      <w:pPr>
        <w:pStyle w:val="BodyText"/>
      </w:pPr>
      <w:r>
        <w:rPr>
          <w:bCs/>
          <w:b/>
        </w:rPr>
        <w:t xml:space="preserve">FHIs rolle:</w:t>
      </w:r>
      <w:r>
        <w:t xml:space="preserve"> </w:t>
      </w:r>
      <w:r>
        <w:t xml:space="preserve">Helseregisterloven gir hjemmel for de sentrale helseregistrene der FHI er dataansvarlig (se neste seksjon).</w:t>
      </w:r>
    </w:p>
    <w:p>
      <w:r>
        <w:pict>
          <v:rect style="width:0;height:1.5pt" o:hralign="center" o:hrstd="t" o:hr="t"/>
        </w:pict>
      </w:r>
    </w:p>
    <w:bookmarkEnd w:id="28"/>
    <w:bookmarkEnd w:id="29"/>
    <w:bookmarkEnd w:id="30"/>
    <w:bookmarkStart w:id="36" w:name="helseregistre---fhi-som-dataansvarlig"/>
    <w:p>
      <w:pPr>
        <w:pStyle w:val="Heading2"/>
      </w:pPr>
      <w:r>
        <w:t xml:space="preserve">Helseregistre - FHI som dataansvarlig</w:t>
      </w:r>
    </w:p>
    <w:p>
      <w:pPr>
        <w:pStyle w:val="FirstParagraph"/>
      </w:pPr>
      <w:r>
        <w:t xml:space="preserve">FHI er</w:t>
      </w:r>
      <w:r>
        <w:t xml:space="preserve"> </w:t>
      </w:r>
      <w:r>
        <w:rPr>
          <w:bCs/>
          <w:b/>
        </w:rPr>
        <w:t xml:space="preserve">dataansvarlig</w:t>
      </w:r>
      <w:r>
        <w:t xml:space="preserve"> </w:t>
      </w:r>
      <w:r>
        <w:t xml:space="preserve">for følgende sentrale helseregistre:</w:t>
      </w:r>
    </w:p>
    <w:bookmarkStart w:id="31" w:name="smittevern-og-infeksjonssykdommer"/>
    <w:p>
      <w:pPr>
        <w:pStyle w:val="Heading3"/>
      </w:pPr>
      <w:r>
        <w:t xml:space="preserve">Smittevern og infeksjonssykdommer</w:t>
      </w:r>
    </w:p>
    <w:tbl>
      <w:tblPr>
        <w:tblStyle w:val="Table"/>
        <w:tblW w:type="pct" w:w="5000"/>
        <w:tblLook w:firstRow="1" w:lastRow="0" w:firstColumn="0" w:lastColumn="0" w:noHBand="0" w:noVBand="0" w:val="0020"/>
        <w:jc w:val="start"/>
      </w:tblPr>
      <w:tblGrid>
        <w:gridCol w:w="2731"/>
        <w:gridCol w:w="3004"/>
        <w:gridCol w:w="2184"/>
      </w:tblGrid>
      <w:tr>
        <w:trPr>
          <w:tblHeader w:val="true"/>
        </w:trPr>
        <w:tc>
          <w:tcPr/>
          <w:p>
            <w:pPr>
              <w:pStyle w:val="Compact"/>
              <w:jc w:val="left"/>
            </w:pPr>
            <w:r>
              <w:t xml:space="preserve">Register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Forskrift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Formål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Cs/>
                <w:b/>
              </w:rPr>
              <w:t xml:space="preserve">MSIS</w:t>
            </w:r>
            <w:r>
              <w:t xml:space="preserve"> </w:t>
            </w:r>
            <w:r>
              <w:t xml:space="preserve">(Meldingssystem for smittsomme sykdommer)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FOR-2003-06-20-740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Overvåke smittsomme sykdommer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Cs/>
                <w:b/>
              </w:rPr>
              <w:t xml:space="preserve">SYSVAK</w:t>
            </w:r>
            <w:r>
              <w:t xml:space="preserve"> </w:t>
            </w:r>
            <w:r>
              <w:t xml:space="preserve">(Nasjonalt vaksinasjonsregister)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FOR-2003-06-20-739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Registrere vaksinasjoner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Cs/>
                <w:b/>
              </w:rPr>
              <w:t xml:space="preserve">NORM/RAVN</w:t>
            </w:r>
            <w:r>
              <w:t xml:space="preserve"> </w:t>
            </w:r>
            <w:r>
              <w:t xml:space="preserve">(Resistensovervåking)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FOR-2003-11-14-1353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Overvåke antibiotikaresistens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Cs/>
                <w:b/>
              </w:rPr>
              <w:t xml:space="preserve">NOIS</w:t>
            </w:r>
            <w:r>
              <w:t xml:space="preserve"> </w:t>
            </w:r>
            <w:r>
              <w:t xml:space="preserve">(Helsetjenesteassosierte infeksjoner)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FOR-2005-06-17-611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Overvåke sykehusinfeksjoner</w:t>
            </w:r>
          </w:p>
        </w:tc>
      </w:tr>
    </w:tbl>
    <w:bookmarkEnd w:id="31"/>
    <w:bookmarkStart w:id="32" w:name="befolkningsbaserte-registre"/>
    <w:p>
      <w:pPr>
        <w:pStyle w:val="Heading3"/>
      </w:pPr>
      <w:r>
        <w:t xml:space="preserve">Befolkningsbaserte registre</w:t>
      </w:r>
    </w:p>
    <w:tbl>
      <w:tblPr>
        <w:tblStyle w:val="Table"/>
        <w:tblW w:type="pct" w:w="5000"/>
        <w:tblLook w:firstRow="1" w:lastRow="0" w:firstColumn="0" w:lastColumn="0" w:noHBand="0" w:noVBand="0" w:val="0020"/>
        <w:jc w:val="start"/>
      </w:tblPr>
      <w:tblGrid>
        <w:gridCol w:w="2731"/>
        <w:gridCol w:w="3004"/>
        <w:gridCol w:w="2184"/>
      </w:tblGrid>
      <w:tr>
        <w:trPr>
          <w:tblHeader w:val="true"/>
        </w:trPr>
        <w:tc>
          <w:tcPr/>
          <w:p>
            <w:pPr>
              <w:pStyle w:val="Compact"/>
              <w:jc w:val="left"/>
            </w:pPr>
            <w:r>
              <w:t xml:space="preserve">Register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Forskrift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Formål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Cs/>
                <w:b/>
              </w:rPr>
              <w:t xml:space="preserve">Dødsårsaksregisteret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FOR-2001-12-21-1476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Registrere dødsårsaker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Cs/>
                <w:b/>
              </w:rPr>
              <w:t xml:space="preserve">Medisinsk fødselsregister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FOR-2001-12-21-1483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Overvåke fødsler og svangerskapsutfall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Cs/>
                <w:b/>
              </w:rPr>
              <w:t xml:space="preserve">Kreftregisteret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FOR-2001-12-21-1477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Registrere krefttilfeller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Cs/>
                <w:b/>
              </w:rPr>
              <w:t xml:space="preserve">Hjerte- og karregisteret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FOR-2011-12-16-1250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Overvåke hjerte- og karsykdommer</w:t>
            </w:r>
          </w:p>
        </w:tc>
      </w:tr>
    </w:tbl>
    <w:bookmarkEnd w:id="32"/>
    <w:bookmarkStart w:id="33" w:name="legemidler-og-behandling"/>
    <w:p>
      <w:pPr>
        <w:pStyle w:val="Heading3"/>
      </w:pPr>
      <w:r>
        <w:t xml:space="preserve">Legemidler og behandling</w:t>
      </w:r>
    </w:p>
    <w:tbl>
      <w:tblPr>
        <w:tblStyle w:val="Table"/>
        <w:tblW w:type="pct" w:w="5000"/>
        <w:tblLook w:firstRow="1" w:lastRow="0" w:firstColumn="0" w:lastColumn="0" w:noHBand="0" w:noVBand="0" w:val="0020"/>
        <w:jc w:val="start"/>
      </w:tblPr>
      <w:tblGrid>
        <w:gridCol w:w="2731"/>
        <w:gridCol w:w="3004"/>
        <w:gridCol w:w="2184"/>
      </w:tblGrid>
      <w:tr>
        <w:trPr>
          <w:tblHeader w:val="true"/>
        </w:trPr>
        <w:tc>
          <w:tcPr/>
          <w:p>
            <w:pPr>
              <w:pStyle w:val="Compact"/>
              <w:jc w:val="left"/>
            </w:pPr>
            <w:r>
              <w:t xml:space="preserve">Register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Forskrift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Formål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Cs/>
                <w:b/>
              </w:rPr>
              <w:t xml:space="preserve">Reseptregisteret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FOR-2003-10-17-1246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Overvåke legemiddelbruk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Cs/>
                <w:b/>
              </w:rPr>
              <w:t xml:space="preserve">Legemiddelregisteret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FOR-2021-03-26-969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Registrere legemiddelbruk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Cs/>
                <w:b/>
              </w:rPr>
              <w:t xml:space="preserve">Abortregisteret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FOR-2007-12-14-1418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Registrere aborter</w:t>
            </w:r>
          </w:p>
        </w:tc>
      </w:tr>
    </w:tbl>
    <w:bookmarkEnd w:id="33"/>
    <w:bookmarkStart w:id="34" w:name="helsetjenester-og-omsorg"/>
    <w:p>
      <w:pPr>
        <w:pStyle w:val="Heading3"/>
      </w:pPr>
      <w:r>
        <w:t xml:space="preserve">Helsetjenester og omsorg</w:t>
      </w:r>
    </w:p>
    <w:tbl>
      <w:tblPr>
        <w:tblStyle w:val="Table"/>
        <w:tblW w:type="pct" w:w="5000"/>
        <w:tblLook w:firstRow="1" w:lastRow="0" w:firstColumn="0" w:lastColumn="0" w:noHBand="0" w:noVBand="0" w:val="0020"/>
        <w:jc w:val="start"/>
      </w:tblPr>
      <w:tblGrid>
        <w:gridCol w:w="2731"/>
        <w:gridCol w:w="3004"/>
        <w:gridCol w:w="2184"/>
      </w:tblGrid>
      <w:tr>
        <w:trPr>
          <w:tblHeader w:val="true"/>
        </w:trPr>
        <w:tc>
          <w:tcPr/>
          <w:p>
            <w:pPr>
              <w:pStyle w:val="Compact"/>
              <w:jc w:val="left"/>
            </w:pPr>
            <w:r>
              <w:t xml:space="preserve">Register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Forskrift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Formål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Cs/>
                <w:b/>
              </w:rPr>
              <w:t xml:space="preserve">Norsk pasientregister (NPR)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FOR-2007-12-07-1389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Administrasjon og styring av spesialisthelsetjenesten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Cs/>
                <w:b/>
              </w:rPr>
              <w:t xml:space="preserve">KPR</w:t>
            </w:r>
            <w:r>
              <w:t xml:space="preserve"> </w:t>
            </w:r>
            <w:r>
              <w:t xml:space="preserve">(Kommunalt pasient- og brukerregister)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FOR-2017-08-25-1292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Overvåke kommunale helse- og omsorgstjenester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Cs/>
                <w:b/>
              </w:rPr>
              <w:t xml:space="preserve">IPLOS-registeret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FOR-2006-02-17-204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Statistikk om pleie- og omsorgstjenester</w:t>
            </w:r>
          </w:p>
        </w:tc>
      </w:tr>
    </w:tbl>
    <w:bookmarkEnd w:id="34"/>
    <w:bookmarkStart w:id="35" w:name="felles-kjennetegn-for-alle-registre"/>
    <w:p>
      <w:pPr>
        <w:pStyle w:val="Heading3"/>
      </w:pPr>
      <w:r>
        <w:t xml:space="preserve">Felles kjennetegn for alle registre</w:t>
      </w:r>
    </w:p>
    <w:p>
      <w:pPr>
        <w:pStyle w:val="FirstParagraph"/>
      </w:pPr>
      <w:r>
        <w:t xml:space="preserve">For alle registre der FHI er dataansvarlig gjelder:</w:t>
      </w:r>
    </w:p>
    <w:p>
      <w:pPr>
        <w:numPr>
          <w:ilvl w:val="0"/>
          <w:numId w:val="1004"/>
        </w:numPr>
        <w:pStyle w:val="Compact"/>
      </w:pPr>
      <w:r>
        <w:rPr>
          <w:bCs/>
          <w:b/>
        </w:rPr>
        <w:t xml:space="preserve">Behandling uten samtykke:</w:t>
      </w:r>
      <w:r>
        <w:t xml:space="preserve"> </w:t>
      </w:r>
      <w:r>
        <w:t xml:space="preserve">Opplysninger kan registreres uten den registrertes samtykke</w:t>
      </w:r>
    </w:p>
    <w:p>
      <w:pPr>
        <w:numPr>
          <w:ilvl w:val="0"/>
          <w:numId w:val="1004"/>
        </w:numPr>
        <w:pStyle w:val="Compact"/>
      </w:pPr>
      <w:r>
        <w:rPr>
          <w:bCs/>
          <w:b/>
        </w:rPr>
        <w:t xml:space="preserve">Meldeplikt:</w:t>
      </w:r>
      <w:r>
        <w:t xml:space="preserve"> </w:t>
      </w:r>
      <w:r>
        <w:t xml:space="preserve">Helsepersonell har plikt til å melde opplysninger</w:t>
      </w:r>
    </w:p>
    <w:p>
      <w:pPr>
        <w:numPr>
          <w:ilvl w:val="0"/>
          <w:numId w:val="1004"/>
        </w:numPr>
        <w:pStyle w:val="Compact"/>
      </w:pPr>
      <w:r>
        <w:rPr>
          <w:bCs/>
          <w:b/>
        </w:rPr>
        <w:t xml:space="preserve">Formålsbegrensning:</w:t>
      </w:r>
      <w:r>
        <w:t xml:space="preserve"> </w:t>
      </w:r>
      <w:r>
        <w:t xml:space="preserve">Opplysninger kan bare brukes til angitte formål</w:t>
      </w:r>
    </w:p>
    <w:p>
      <w:pPr>
        <w:numPr>
          <w:ilvl w:val="0"/>
          <w:numId w:val="1004"/>
        </w:numPr>
        <w:pStyle w:val="Compact"/>
      </w:pPr>
      <w:r>
        <w:rPr>
          <w:bCs/>
          <w:b/>
        </w:rPr>
        <w:t xml:space="preserve">Taushetsplikt:</w:t>
      </w:r>
      <w:r>
        <w:t xml:space="preserve"> </w:t>
      </w:r>
      <w:r>
        <w:t xml:space="preserve">Alle som behandler opplysninger har taushetsplikt</w:t>
      </w:r>
    </w:p>
    <w:p>
      <w:pPr>
        <w:numPr>
          <w:ilvl w:val="0"/>
          <w:numId w:val="1004"/>
        </w:numPr>
        <w:pStyle w:val="Compact"/>
      </w:pPr>
      <w:r>
        <w:rPr>
          <w:bCs/>
          <w:b/>
        </w:rPr>
        <w:t xml:space="preserve">Internkontroll:</w:t>
      </w:r>
      <w:r>
        <w:t xml:space="preserve"> </w:t>
      </w:r>
      <w:r>
        <w:t xml:space="preserve">FHI skal ha internkontrollsystem</w:t>
      </w:r>
    </w:p>
    <w:p>
      <w:pPr>
        <w:numPr>
          <w:ilvl w:val="0"/>
          <w:numId w:val="1004"/>
        </w:numPr>
        <w:pStyle w:val="Compact"/>
      </w:pPr>
      <w:r>
        <w:rPr>
          <w:bCs/>
          <w:b/>
        </w:rPr>
        <w:t xml:space="preserve">Bevaring:</w:t>
      </w:r>
      <w:r>
        <w:t xml:space="preserve"> </w:t>
      </w:r>
      <w:r>
        <w:t xml:space="preserve">Opplysninger bevares i ubegrenset tid (med unntak)</w:t>
      </w:r>
    </w:p>
    <w:p>
      <w:r>
        <w:pict>
          <v:rect style="width:0;height:1.5pt" o:hralign="center" o:hrstd="t" o:hr="t"/>
        </w:pict>
      </w:r>
    </w:p>
    <w:bookmarkEnd w:id="35"/>
    <w:bookmarkEnd w:id="36"/>
    <w:bookmarkStart w:id="39" w:name="internasjonale-forpliktelser"/>
    <w:p>
      <w:pPr>
        <w:pStyle w:val="Heading2"/>
      </w:pPr>
      <w:r>
        <w:t xml:space="preserve">Internasjonale forpliktelser</w:t>
      </w:r>
    </w:p>
    <w:bookmarkStart w:id="37" w:name="ihr-forskriften"/>
    <w:p>
      <w:pPr>
        <w:pStyle w:val="Heading3"/>
      </w:pPr>
      <w:r>
        <w:t xml:space="preserve">IHR-forskriften</w:t>
      </w:r>
    </w:p>
    <w:p>
      <w:pPr>
        <w:pStyle w:val="FirstParagraph"/>
      </w:pPr>
      <w:r>
        <w:rPr>
          <w:bCs/>
          <w:b/>
        </w:rPr>
        <w:t xml:space="preserve">Forskrift om varsling av og tiltak ved alvorlige hendelser av betydning for internasjonal folkehelse (IHR-forskriften)</w:t>
      </w:r>
      <w:r>
        <w:br/>
      </w:r>
      <w:r>
        <w:rPr>
          <w:iCs/>
          <w:i/>
        </w:rPr>
        <w:t xml:space="preserve">FOR-2007-12-21-1573</w:t>
      </w:r>
    </w:p>
    <w:tbl>
      <w:tblPr>
        <w:tblStyle w:val="Table"/>
        <w:tblW w:type="pct" w:w="5000"/>
        <w:tblLook w:firstRow="1" w:lastRow="0" w:firstColumn="0" w:lastColumn="0" w:noHBand="0" w:noVBand="0" w:val="0020"/>
        <w:jc w:val="start"/>
      </w:tblPr>
      <w:tblGrid>
        <w:gridCol w:w="2772"/>
        <w:gridCol w:w="5148"/>
      </w:tblGrid>
      <w:tr>
        <w:trPr>
          <w:tblHeader w:val="true"/>
        </w:trPr>
        <w:tc>
          <w:tcPr/>
          <w:p>
            <w:pPr>
              <w:pStyle w:val="Compact"/>
              <w:jc w:val="left"/>
            </w:pPr>
            <w:r>
              <w:t xml:space="preserve">Rolle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Beskrivelse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Cs/>
                <w:b/>
              </w:rPr>
              <w:t xml:space="preserve">Nasjonalt kontaktpunkt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FHI er Norges nasjonale IHR-kontaktpunkt (National Focal Point)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Cs/>
                <w:b/>
              </w:rPr>
              <w:t xml:space="preserve">Varsling til WHO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FHI varsler WHO om hendelser av internasjonal betydning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Cs/>
                <w:b/>
              </w:rPr>
              <w:t xml:space="preserve">EWRS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FHI er nasjonalt kontaktpunkt for EUs Early Warning and Response System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rPr>
                <w:bCs/>
                <w:b/>
              </w:rPr>
              <w:t xml:space="preserve">24/7 beredskap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FHI skal være tilgjengelig døgnet rundt</w:t>
            </w:r>
          </w:p>
        </w:tc>
      </w:tr>
    </w:tbl>
    <w:p>
      <w:pPr>
        <w:pStyle w:val="BodyText"/>
      </w:pPr>
      <w:r>
        <w:rPr>
          <w:bCs/>
          <w:b/>
        </w:rPr>
        <w:t xml:space="preserve">Hjemmel:</w:t>
      </w:r>
      <w:r>
        <w:t xml:space="preserve"> </w:t>
      </w:r>
      <w:r>
        <w:t xml:space="preserve">IHR-forskriften § 3</w:t>
      </w:r>
    </w:p>
    <w:bookmarkEnd w:id="37"/>
    <w:bookmarkStart w:id="38" w:name="eu-samarbeid"/>
    <w:p>
      <w:pPr>
        <w:pStyle w:val="Heading3"/>
      </w:pPr>
      <w:r>
        <w:t xml:space="preserve">EU-samarbeid</w:t>
      </w:r>
    </w:p>
    <w:p>
      <w:pPr>
        <w:pStyle w:val="FirstParagraph"/>
      </w:pPr>
      <w:r>
        <w:t xml:space="preserve">FHI rapporterer til:</w:t>
      </w:r>
      <w:r>
        <w:t xml:space="preserve"> </w:t>
      </w:r>
      <w:r>
        <w:t xml:space="preserve">-</w:t>
      </w:r>
      <w:r>
        <w:t xml:space="preserve"> </w:t>
      </w:r>
      <w:r>
        <w:rPr>
          <w:bCs/>
          <w:b/>
        </w:rPr>
        <w:t xml:space="preserve">ECDC</w:t>
      </w:r>
      <w:r>
        <w:t xml:space="preserve"> </w:t>
      </w:r>
      <w:r>
        <w:t xml:space="preserve">(European Centre for Disease Prevention and Control)</w:t>
      </w:r>
      <w:r>
        <w:t xml:space="preserve"> </w:t>
      </w:r>
      <w:r>
        <w:t xml:space="preserve">-</w:t>
      </w:r>
      <w:r>
        <w:t xml:space="preserve"> </w:t>
      </w:r>
      <w:r>
        <w:rPr>
          <w:bCs/>
          <w:b/>
        </w:rPr>
        <w:t xml:space="preserve">EMCDDA</w:t>
      </w:r>
      <w:r>
        <w:t xml:space="preserve"> </w:t>
      </w:r>
      <w:r>
        <w:t xml:space="preserve">(European Monitoring Centre for Drugs and Drug Addiction)</w:t>
      </w:r>
      <w:r>
        <w:t xml:space="preserve"> </w:t>
      </w:r>
      <w:r>
        <w:t xml:space="preserve">-</w:t>
      </w:r>
      <w:r>
        <w:t xml:space="preserve"> </w:t>
      </w:r>
      <w:r>
        <w:rPr>
          <w:bCs/>
          <w:b/>
        </w:rPr>
        <w:t xml:space="preserve">EU-kommisjonen</w:t>
      </w:r>
      <w:r>
        <w:t xml:space="preserve"> </w:t>
      </w:r>
      <w:r>
        <w:t xml:space="preserve">(via EWRS og andre varslingssystemer)</w:t>
      </w:r>
    </w:p>
    <w:p>
      <w:r>
        <w:pict>
          <v:rect style="width:0;height:1.5pt" o:hralign="center" o:hrstd="t" o:hr="t"/>
        </w:pict>
      </w:r>
    </w:p>
    <w:bookmarkEnd w:id="38"/>
    <w:bookmarkEnd w:id="39"/>
    <w:bookmarkStart w:id="43" w:name="øvrige-hjemler"/>
    <w:p>
      <w:pPr>
        <w:pStyle w:val="Heading2"/>
      </w:pPr>
      <w:r>
        <w:t xml:space="preserve">Øvrige hjemler</w:t>
      </w:r>
    </w:p>
    <w:bookmarkStart w:id="40" w:name="forskrift-om-smittevern-i-helsetjenesten"/>
    <w:p>
      <w:pPr>
        <w:pStyle w:val="Heading3"/>
      </w:pPr>
      <w:r>
        <w:t xml:space="preserve">Forskrift om smittevern i helsetjenesten</w:t>
      </w:r>
    </w:p>
    <w:p>
      <w:pPr>
        <w:pStyle w:val="FirstParagraph"/>
      </w:pPr>
      <w:r>
        <w:rPr>
          <w:iCs/>
          <w:i/>
        </w:rPr>
        <w:t xml:space="preserve">FOR-2005-06-17-610</w:t>
      </w:r>
    </w:p>
    <w:p>
      <w:pPr>
        <w:pStyle w:val="BodyText"/>
      </w:pPr>
      <w:r>
        <w:t xml:space="preserve">FHI har</w:t>
      </w:r>
      <w:r>
        <w:t xml:space="preserve"> </w:t>
      </w:r>
      <w:r>
        <w:rPr>
          <w:bCs/>
          <w:b/>
        </w:rPr>
        <w:t xml:space="preserve">koordineringsoppgaver</w:t>
      </w:r>
      <w:r>
        <w:t xml:space="preserve"> </w:t>
      </w:r>
      <w:r>
        <w:t xml:space="preserve">for:</w:t>
      </w:r>
      <w:r>
        <w:t xml:space="preserve"> </w:t>
      </w:r>
      <w:r>
        <w:t xml:space="preserve">- Nasjonal overvåking av infeksjoner i helsetjenesten</w:t>
      </w:r>
      <w:r>
        <w:t xml:space="preserve"> </w:t>
      </w:r>
      <w:r>
        <w:t xml:space="preserve">- Veiledning om smitteverntiltak</w:t>
      </w:r>
      <w:r>
        <w:t xml:space="preserve"> </w:t>
      </w:r>
      <w:r>
        <w:t xml:space="preserve">- Utarbeidelse av faglige retningslinjer</w:t>
      </w:r>
    </w:p>
    <w:bookmarkEnd w:id="40"/>
    <w:bookmarkStart w:id="41" w:name="helseberedskapsloven"/>
    <w:p>
      <w:pPr>
        <w:pStyle w:val="Heading3"/>
      </w:pPr>
      <w:r>
        <w:t xml:space="preserve">Helseberedskapsloven</w:t>
      </w:r>
    </w:p>
    <w:p>
      <w:pPr>
        <w:pStyle w:val="FirstParagraph"/>
      </w:pPr>
      <w:r>
        <w:rPr>
          <w:iCs/>
          <w:i/>
        </w:rPr>
        <w:t xml:space="preserve">LOV-2000-06-23-56</w:t>
      </w:r>
    </w:p>
    <w:p>
      <w:pPr>
        <w:pStyle w:val="BodyText"/>
      </w:pPr>
      <w:r>
        <w:t xml:space="preserve">FHI kan etablere</w:t>
      </w:r>
      <w:r>
        <w:t xml:space="preserve"> </w:t>
      </w:r>
      <w:r>
        <w:rPr>
          <w:bCs/>
          <w:b/>
        </w:rPr>
        <w:t xml:space="preserve">beredskapsregistre</w:t>
      </w:r>
      <w:r>
        <w:t xml:space="preserve"> </w:t>
      </w:r>
      <w:r>
        <w:t xml:space="preserve">med hjemmel i helseberedskapsloven § 2-4 for å håndtere kriser og katastrofer.</w:t>
      </w:r>
    </w:p>
    <w:bookmarkEnd w:id="41"/>
    <w:bookmarkStart w:id="42" w:name="biobankloven"/>
    <w:p>
      <w:pPr>
        <w:pStyle w:val="Heading3"/>
      </w:pPr>
      <w:r>
        <w:t xml:space="preserve">Biobankloven</w:t>
      </w:r>
    </w:p>
    <w:p>
      <w:pPr>
        <w:pStyle w:val="FirstParagraph"/>
      </w:pPr>
      <w:r>
        <w:rPr>
          <w:iCs/>
          <w:i/>
        </w:rPr>
        <w:t xml:space="preserve">LOV-2003-02-21-12</w:t>
      </w:r>
    </w:p>
    <w:p>
      <w:pPr>
        <w:pStyle w:val="BodyText"/>
      </w:pPr>
      <w:r>
        <w:t xml:space="preserve">FHI er ansvarlig for biobanker tilknyttet flere av helseregistrene, særlig MSIS-biobanken for smittsomme sykdommer.</w:t>
      </w:r>
    </w:p>
    <w:p>
      <w:r>
        <w:pict>
          <v:rect style="width:0;height:1.5pt" o:hralign="center" o:hrstd="t" o:hr="t"/>
        </w:pict>
      </w:r>
    </w:p>
    <w:bookmarkEnd w:id="42"/>
    <w:bookmarkEnd w:id="43"/>
    <w:bookmarkStart w:id="46" w:name="oppsummering---fhis-lovpålagte-oppgaver"/>
    <w:p>
      <w:pPr>
        <w:pStyle w:val="Heading2"/>
      </w:pPr>
      <w:r>
        <w:t xml:space="preserve">Oppsummering - FHIs lovpålagte oppgaver</w:t>
      </w:r>
    </w:p>
    <w:bookmarkStart w:id="44" w:name="plikter-skal"/>
    <w:p>
      <w:pPr>
        <w:pStyle w:val="Heading3"/>
      </w:pPr>
      <w:r>
        <w:t xml:space="preserve">Plikter (skal)</w:t>
      </w:r>
    </w:p>
    <w:p>
      <w:pPr>
        <w:numPr>
          <w:ilvl w:val="0"/>
          <w:numId w:val="1005"/>
        </w:numPr>
        <w:pStyle w:val="Compact"/>
      </w:pPr>
      <w:r>
        <w:t xml:space="preserve">Overvåke folkehelsen og smittesituasjonen</w:t>
      </w:r>
    </w:p>
    <w:p>
      <w:pPr>
        <w:numPr>
          <w:ilvl w:val="0"/>
          <w:numId w:val="1005"/>
        </w:numPr>
        <w:pStyle w:val="Compact"/>
      </w:pPr>
      <w:r>
        <w:t xml:space="preserve">Drive forskning på folkehelseområdet</w:t>
      </w:r>
    </w:p>
    <w:p>
      <w:pPr>
        <w:numPr>
          <w:ilvl w:val="0"/>
          <w:numId w:val="1005"/>
        </w:numPr>
        <w:pStyle w:val="Compact"/>
      </w:pPr>
      <w:r>
        <w:t xml:space="preserve">Gi råd og veiledning til myndigheter og befolkning</w:t>
      </w:r>
    </w:p>
    <w:p>
      <w:pPr>
        <w:numPr>
          <w:ilvl w:val="0"/>
          <w:numId w:val="1005"/>
        </w:numPr>
        <w:pStyle w:val="Compact"/>
      </w:pPr>
      <w:r>
        <w:t xml:space="preserve">Sikre vaksineforsyning og vaksineberedskap</w:t>
      </w:r>
    </w:p>
    <w:p>
      <w:pPr>
        <w:numPr>
          <w:ilvl w:val="0"/>
          <w:numId w:val="1005"/>
        </w:numPr>
        <w:pStyle w:val="Compact"/>
      </w:pPr>
      <w:r>
        <w:t xml:space="preserve">Ha beredskap ved utbrudd og kriser</w:t>
      </w:r>
    </w:p>
    <w:p>
      <w:pPr>
        <w:numPr>
          <w:ilvl w:val="0"/>
          <w:numId w:val="1005"/>
        </w:numPr>
        <w:pStyle w:val="Compact"/>
      </w:pPr>
      <w:r>
        <w:t xml:space="preserve">Være nasjonalt kontaktpunkt for IHR og EWRS</w:t>
      </w:r>
    </w:p>
    <w:p>
      <w:pPr>
        <w:numPr>
          <w:ilvl w:val="0"/>
          <w:numId w:val="1005"/>
        </w:numPr>
        <w:pStyle w:val="Compact"/>
      </w:pPr>
      <w:r>
        <w:t xml:space="preserve">Forvalte sentrale helseregistre</w:t>
      </w:r>
    </w:p>
    <w:p>
      <w:pPr>
        <w:numPr>
          <w:ilvl w:val="0"/>
          <w:numId w:val="1005"/>
        </w:numPr>
        <w:pStyle w:val="Compact"/>
      </w:pPr>
      <w:r>
        <w:t xml:space="preserve">Rapportere til internasjonale organer</w:t>
      </w:r>
    </w:p>
    <w:bookmarkEnd w:id="44"/>
    <w:bookmarkStart w:id="45" w:name="fullmakter-kan"/>
    <w:p>
      <w:pPr>
        <w:pStyle w:val="Heading3"/>
      </w:pPr>
      <w:r>
        <w:t xml:space="preserve">Fullmakter (kan)</w:t>
      </w:r>
    </w:p>
    <w:p>
      <w:pPr>
        <w:numPr>
          <w:ilvl w:val="0"/>
          <w:numId w:val="1006"/>
        </w:numPr>
        <w:pStyle w:val="Compact"/>
      </w:pPr>
      <w:r>
        <w:t xml:space="preserve">Behandle helseopplysninger uten samtykke (i registrene)</w:t>
      </w:r>
    </w:p>
    <w:p>
      <w:pPr>
        <w:numPr>
          <w:ilvl w:val="0"/>
          <w:numId w:val="1006"/>
        </w:numPr>
        <w:pStyle w:val="Compact"/>
      </w:pPr>
      <w:r>
        <w:t xml:space="preserve">Gi pålegg om tiltak ved alvorlige utbrudd</w:t>
      </w:r>
    </w:p>
    <w:p>
      <w:pPr>
        <w:numPr>
          <w:ilvl w:val="0"/>
          <w:numId w:val="1006"/>
        </w:numPr>
        <w:pStyle w:val="Compact"/>
      </w:pPr>
      <w:r>
        <w:t xml:space="preserve">Etablere beredskapsregistre ved kriser</w:t>
      </w:r>
    </w:p>
    <w:p>
      <w:pPr>
        <w:numPr>
          <w:ilvl w:val="0"/>
          <w:numId w:val="1006"/>
        </w:numPr>
        <w:pStyle w:val="Compact"/>
      </w:pPr>
      <w:r>
        <w:t xml:space="preserve">Sammenstille data fra ulike registre for forskning</w:t>
      </w:r>
    </w:p>
    <w:p>
      <w:r>
        <w:pict>
          <v:rect style="width:0;height:1.5pt" o:hralign="center" o:hrstd="t" o:hr="t"/>
        </w:pict>
      </w:r>
    </w:p>
    <w:bookmarkEnd w:id="45"/>
    <w:bookmarkEnd w:id="46"/>
    <w:bookmarkStart w:id="47" w:name="kilder"/>
    <w:p>
      <w:pPr>
        <w:pStyle w:val="Heading2"/>
      </w:pPr>
      <w:r>
        <w:t xml:space="preserve">Kilder</w:t>
      </w:r>
    </w:p>
    <w:p>
      <w:pPr>
        <w:pStyle w:val="FirstParagraph"/>
      </w:pPr>
      <w:r>
        <w:t xml:space="preserve">Alle lovhenvisninger er hentet fra Lovdata og er gjeldende per januar 2026.</w:t>
      </w:r>
    </w:p>
    <w:tbl>
      <w:tblPr>
        <w:tblStyle w:val="Table"/>
        <w:tblW w:type="auto" w:w="0"/>
        <w:tblLook w:firstRow="1" w:lastRow="0" w:firstColumn="0" w:lastColumn="0" w:noHBand="0" w:noVBand="0" w:val="0020"/>
        <w:jc w:val="start"/>
      </w:tblPr>
      <w:tblGrid>
        <w:gridCol w:w="3960"/>
        <w:gridCol w:w="3960"/>
      </w:tblGrid>
      <w:tr>
        <w:trPr>
          <w:tblHeader w:val="true"/>
        </w:trPr>
        <w:tc>
          <w:tcPr/>
          <w:p>
            <w:pPr>
              <w:pStyle w:val="Compact"/>
              <w:jc w:val="left"/>
            </w:pPr>
            <w:r>
              <w:t xml:space="preserve">Kilde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Dokument-ID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Folkehelseloven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NL/lov/2011-06-24-29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Smittevernloven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NL/lov/1994-08-05-55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Helseregisterloven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NL/lov/2014-06-20-43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MSIS-forskriften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SF/forskrift/2003-06-20-740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SYSVAK-forskriften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SF/forskrift/2003-06-20-739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Dødsårsaksregisterforskriften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SF/forskrift/2001-12-21-1476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IHR-forskriften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SF/forskrift/2007-12-21-1573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Kreftregisterforskriften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SF/forskrift/2001-12-21-1477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Medisinsk fødselsregisterforskriften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SF/forskrift/2001-12-21-1483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Reseptregisterforskriften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SF/forskrift/2003-10-17-1246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Resistensregisterforskriften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SF/forskrift/2003-11-14-1353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NOIS-registerforskriften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SF/forskrift/2005-06-17-611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Hjerte- og karregisterforskriften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SF/forskrift/2011-12-16-1250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Norsk pasientregisterforskriften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SF/forskrift/2007-12-07-1389</w:t>
            </w:r>
          </w:p>
        </w:tc>
      </w:tr>
    </w:tbl>
    <w:bookmarkEnd w:id="47"/>
    <w:bookmarkEnd w:id="48"/>
    <w:sectPr/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A990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abstractNum w:abstractNumId="99411">
    <w:nsid w:val="A99411"/>
    <w:multiLevelType w:val="multilevel"/>
    <w:lvl w:ilvl="0">
      <w:start w:val="1"/>
      <w:numFmt w:val="decimal"/>
      <w:lvlText w:val="%1."/>
      <w:lvlJc w:val="left"/>
      <w:pPr>
        <w:ind w:left="720" w:hanging="480"/>
      </w:pPr>
    </w:lvl>
    <w:lvl w:ilvl="1">
      <w:start w:val="1"/>
      <w:numFmt w:val="decimal"/>
      <w:lvlText w:val="%2."/>
      <w:lvlJc w:val="left"/>
      <w:pPr>
        <w:ind w:left="1440" w:hanging="480"/>
      </w:pPr>
    </w:lvl>
    <w:lvl w:ilvl="2">
      <w:start w:val="1"/>
      <w:numFmt w:val="decimal"/>
      <w:lvlText w:val="%3."/>
      <w:lvlJc w:val="left"/>
      <w:pPr>
        <w:ind w:left="2160" w:hanging="480"/>
      </w:pPr>
    </w:lvl>
    <w:lvl w:ilvl="3">
      <w:start w:val="1"/>
      <w:numFmt w:val="decimal"/>
      <w:lvlText w:val="%4."/>
      <w:lvlJc w:val="left"/>
      <w:pPr>
        <w:ind w:left="2880" w:hanging="480"/>
      </w:pPr>
    </w:lvl>
    <w:lvl w:ilvl="4">
      <w:start w:val="1"/>
      <w:numFmt w:val="decimal"/>
      <w:lvlText w:val="%5."/>
      <w:lvlJc w:val="left"/>
      <w:pPr>
        <w:ind w:left="3600" w:hanging="480"/>
      </w:pPr>
    </w:lvl>
    <w:lvl w:ilvl="5">
      <w:start w:val="1"/>
      <w:numFmt w:val="decimal"/>
      <w:lvlText w:val="%6."/>
      <w:lvlJc w:val="left"/>
      <w:pPr>
        <w:ind w:left="4320" w:hanging="480"/>
      </w:pPr>
    </w:lvl>
    <w:lvl w:ilvl="6">
      <w:start w:val="1"/>
      <w:numFmt w:val="decimal"/>
      <w:lvlText w:val="%7."/>
      <w:lvlJc w:val="left"/>
      <w:pPr>
        <w:ind w:left="5040" w:hanging="480"/>
      </w:pPr>
    </w:lvl>
    <w:lvl w:ilvl="7">
      <w:start w:val="1"/>
      <w:numFmt w:val="decimal"/>
      <w:lvlText w:val="%8."/>
      <w:lvlJc w:val="left"/>
      <w:pPr>
        <w:ind w:left="5760" w:hanging="480"/>
      </w:pPr>
    </w:lvl>
    <w:lvl w:ilvl="8">
      <w:start w:val="1"/>
      <w:numFmt w:val="decimal"/>
      <w:lvlText w:val="%9."/>
      <w:lvlJc w:val="left"/>
      <w:pPr>
        <w:ind w:left="6480" w:hanging="480"/>
      </w:pPr>
    </w:lvl>
  </w:abstractNum>
  <w:abstractNum w:abstractNumId="991">
    <w:nsid w:val="A991"/>
    <w:multiLevelType w:val="multilevel"/>
    <w:lvl w:ilvl="0">
      <w:numFmt w:val="bullet"/>
      <w:lvlText w:val="•"/>
      <w:lvlJc w:val="left"/>
      <w:pPr>
        <w:ind w:left="720" w:hanging="480"/>
      </w:pPr>
    </w:lvl>
    <w:lvl w:ilvl="1">
      <w:numFmt w:val="bullet"/>
      <w:lvlText w:val="–"/>
      <w:lvlJc w:val="left"/>
      <w:pPr>
        <w:ind w:left="1440" w:hanging="480"/>
      </w:pPr>
    </w:lvl>
    <w:lvl w:ilvl="2">
      <w:numFmt w:val="bullet"/>
      <w:lvlText w:val="•"/>
      <w:lvlJc w:val="left"/>
      <w:pPr>
        <w:ind w:left="2160" w:hanging="480"/>
      </w:pPr>
    </w:lvl>
    <w:lvl w:ilvl="3">
      <w:numFmt w:val="bullet"/>
      <w:lvlText w:val="–"/>
      <w:lvlJc w:val="left"/>
      <w:pPr>
        <w:ind w:left="2880" w:hanging="480"/>
      </w:pPr>
    </w:lvl>
    <w:lvl w:ilvl="4">
      <w:numFmt w:val="bullet"/>
      <w:lvlText w:val="•"/>
      <w:lvlJc w:val="left"/>
      <w:pPr>
        <w:ind w:left="3600" w:hanging="480"/>
      </w:pPr>
    </w:lvl>
    <w:lvl w:ilvl="5">
      <w:numFmt w:val="bullet"/>
      <w:lvlText w:val="–"/>
      <w:lvlJc w:val="left"/>
      <w:pPr>
        <w:ind w:left="4320" w:hanging="480"/>
      </w:pPr>
    </w:lvl>
    <w:lvl w:ilvl="6">
      <w:numFmt w:val="bullet"/>
      <w:lvlText w:val="•"/>
      <w:lvlJc w:val="left"/>
      <w:pPr>
        <w:ind w:left="5040" w:hanging="480"/>
      </w:pPr>
    </w:lvl>
    <w:lvl w:ilvl="7">
      <w:numFmt w:val="bullet"/>
      <w:lvlText w:val="–"/>
      <w:lvlJc w:val="left"/>
      <w:pPr>
        <w:ind w:left="5760" w:hanging="480"/>
      </w:pPr>
    </w:lvl>
    <w:lvl w:ilvl="8">
      <w:numFmt w:val="bullet"/>
      <w:lvlText w:val="•"/>
      <w:lvlJc w:val="left"/>
      <w:pPr>
        <w:ind w:left="6480" w:hanging="480"/>
      </w:pPr>
    </w:lvl>
  </w:abstractNum>
  <w:num w:numId="1000">
    <w:abstractNumId w:val="990"/>
  </w:num>
  <w:num w:numId="1001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2">
    <w:abstractNumId w:val="991"/>
  </w:num>
  <w:num w:numId="1003">
    <w:abstractNumId w:val="991"/>
  </w:num>
  <w:num w:numId="1004">
    <w:abstractNumId w:val="991"/>
  </w:num>
  <w:num w:numId="1005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6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stylePaneFormatFilter w:val="0004"/>
  <w:footnotePr>
    <w:footnote w:id="-1"/>
    <w:footnote w:id="0"/>
  </w:footnotePr>
  <w:rsids>
  </w:rsids>
  <w:clrSchemeMapping w:accent1="accent1" w:accent2="accent2" w:accent3="accent3" w:accent4="accent4" w:accent5="accent5" w:accent6="accent6" w:bg1="light1" w:bg2="light2" w:followedHyperlink="followedHyperlink" w:hyperlink="hyperlink" w:t1="dark1" w:t2="dark2"/>
  <w:zoom w:percent="100"/>
  <w:embedSystemFonts/>
  <w:proofState w:grammar="clean" w:spelling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m:mathPr>
    <m:mathFont m:val="Cambria Math"/>
    <m:brkBin m:val="before"/>
    <m:brkBinSub m:val="--"/>
    <m:smallFrac m:val="0"/>
    <m:dispDef/>
    <m:lMargin m:val="0"/>
    <m:rMargin m:val="0"/>
    <m:wrapRight/>
    <m:intLim m:val="subSup"/>
    <m:naryLim m:val="undOvr"/>
  </m:mathPr>
  <w:themeFontLang w:val="en-US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pPr>
      <w:spacing w:after="180" w:before="180"/>
    </w:pPr>
    <w:qFormat/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qFormat/>
    <w:pPr>
      <w:keepNext/>
      <w:keepLines/>
      <w:spacing w:after="240" w:before="480"/>
      <w:jc w:val="center"/>
    </w:pPr>
    <w:rPr>
      <w:rFonts w:asciiTheme="majorHAnsi" w:cstheme="majorBidi" w:eastAsiaTheme="majorEastAsia" w:hAnsiTheme="majorHAnsi"/>
      <w:b/>
      <w:bCs/>
      <w:color w:themeColor="accent1" w:themeShade="B5" w:val="345A8A"/>
      <w:sz w:val="36"/>
      <w:szCs w:val="36"/>
    </w:rPr>
  </w:style>
  <w:style w:styleId="Subtitle" w:type="paragraph">
    <w:name w:val="Subtitle"/>
    <w:basedOn w:val="Title"/>
    <w:next w:val="BodyText"/>
    <w:qFormat/>
    <w:pPr>
      <w:keepNext/>
      <w:keepLines/>
      <w:spacing w:after="240" w:before="240"/>
      <w:jc w:val="center"/>
    </w:pPr>
    <w:rPr>
      <w:sz w:val="30"/>
      <w:szCs w:val="30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jc w:val="center"/>
      <w:spacing w:after="0" w:before="300"/>
    </w:pPr>
    <w:rPr>
      <w:sz w:val="20"/>
      <w:szCs w:val="20"/>
      <w:b/>
      <w:color w:val="345A8A"/>
      &gt;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uiPriority w:val="9"/>
    <w:qFormat/>
    <w:pPr>
      <w:keepNext/>
      <w:keepLines/>
      <w:spacing w:after="0" w:before="480"/>
      <w:outlineLvl w:val="0"/>
    </w:pPr>
    <w:rPr>
      <w:rFonts w:asciiTheme="majorHAnsi" w:cstheme="majorBidi" w:eastAsiaTheme="majorEastAsia" w:hAnsiTheme="majorHAnsi"/>
      <w:b/>
      <w:bCs/>
      <w:color w:themeColor="accent1" w:val="4F81BD"/>
      <w:sz w:val="32"/>
      <w:szCs w:val="32"/>
    </w:rPr>
  </w:style>
  <w:style w:styleId="Heading2" w:type="paragraph">
    <w:name w:val="Heading 2"/>
    <w:basedOn w:val="Normal"/>
    <w:next w:val="BodyText"/>
    <w:uiPriority w:val="9"/>
    <w:unhideWhenUsed/>
    <w:qFormat/>
    <w:pPr>
      <w:keepNext/>
      <w:keepLines/>
      <w:spacing w:after="0" w:before="200"/>
      <w:outlineLvl w:val="1"/>
    </w:pPr>
    <w:rPr>
      <w:rFonts w:asciiTheme="majorHAnsi" w:cstheme="majorBidi" w:eastAsiaTheme="majorEastAsia" w:hAnsiTheme="majorHAnsi"/>
      <w:b/>
      <w:bCs/>
      <w:color w:themeColor="accent1" w:val="4F81BD"/>
      <w:sz w:val="28"/>
      <w:szCs w:val="28"/>
    </w:rPr>
  </w:style>
  <w:style w:styleId="Heading3" w:type="paragraph">
    <w:name w:val="Heading 3"/>
    <w:basedOn w:val="Normal"/>
    <w:next w:val="BodyText"/>
    <w:uiPriority w:val="9"/>
    <w:unhideWhenUsed/>
    <w:qFormat/>
    <w:pPr>
      <w:keepNext/>
      <w:keepLines/>
      <w:spacing w:after="0" w:before="200"/>
      <w:outlineLvl w:val="2"/>
    </w:pPr>
    <w:rPr>
      <w:rFonts w:asciiTheme="majorHAnsi" w:cstheme="majorBidi" w:eastAsiaTheme="majorEastAsia" w:hAnsiTheme="majorHAnsi"/>
      <w:b/>
      <w:bCs/>
      <w:color w:themeColor="accent1" w:val="4F81BD"/>
      <w:sz w:val="24"/>
      <w:szCs w:val="24"/>
    </w:rPr>
  </w:style>
  <w:style w:styleId="Heading4" w:type="paragraph">
    <w:name w:val="Heading 4"/>
    <w:basedOn w:val="Normal"/>
    <w:next w:val="BodyText"/>
    <w:uiPriority w:val="9"/>
    <w:unhideWhenUsed/>
    <w:qFormat/>
    <w:pPr>
      <w:keepNext/>
      <w:keepLines/>
      <w:spacing w:after="0" w:before="200"/>
      <w:outlineLvl w:val="3"/>
    </w:pPr>
    <w:rPr>
      <w:rFonts w:asciiTheme="majorHAnsi" w:cstheme="majorBidi" w:eastAsiaTheme="majorEastAsia" w:hAnsiTheme="majorHAnsi"/>
      <w:i/>
      <w:bCs/>
      <w:color w:themeColor="accent1" w:val="4F81BD"/>
      <w:sz w:val="24"/>
      <w:szCs w:val="24"/>
    </w:rPr>
  </w:style>
  <w:style w:styleId="Heading5" w:type="paragraph">
    <w:name w:val="Heading 5"/>
    <w:basedOn w:val="Normal"/>
    <w:next w:val="BodyText"/>
    <w:uiPriority w:val="9"/>
    <w:unhideWhenUsed/>
    <w:qFormat/>
    <w:pPr>
      <w:keepNext/>
      <w:keepLines/>
      <w:spacing w:after="0" w:before="200"/>
      <w:outlineLvl w:val="4"/>
    </w:pPr>
    <w:rPr>
      <w:rFonts w:asciiTheme="majorHAnsi" w:cstheme="majorBidi" w:eastAsiaTheme="majorEastAsia" w:hAnsiTheme="majorHAnsi"/>
      <w:iCs/>
      <w:color w:themeColor="accent1" w:val="4F81BD"/>
      <w:sz w:val="24"/>
      <w:szCs w:val="24"/>
    </w:rPr>
  </w:style>
  <w:style w:styleId="Heading6" w:type="paragraph">
    <w:name w:val="Heading 6"/>
    <w:basedOn w:val="Normal"/>
    <w:next w:val="BodyText"/>
    <w:uiPriority w:val="9"/>
    <w:unhideWhenUsed/>
    <w:qFormat/>
    <w:pPr>
      <w:keepNext/>
      <w:keepLines/>
      <w:spacing w:after="0" w:before="200"/>
      <w:outlineLvl w:val="5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7" w:type="paragraph">
    <w:name w:val="Heading 7"/>
    <w:basedOn w:val="Normal"/>
    <w:next w:val="BodyText"/>
    <w:uiPriority w:val="9"/>
    <w:unhideWhenUsed/>
    <w:qFormat/>
    <w:pPr>
      <w:keepNext/>
      <w:keepLines/>
      <w:spacing w:after="0" w:before="200"/>
      <w:outlineLvl w:val="6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8" w:type="paragraph">
    <w:name w:val="Heading 8"/>
    <w:basedOn w:val="Normal"/>
    <w:next w:val="BodyText"/>
    <w:uiPriority w:val="9"/>
    <w:unhideWhenUsed/>
    <w:qFormat/>
    <w:pPr>
      <w:keepNext/>
      <w:keepLines/>
      <w:spacing w:after="0" w:before="200"/>
      <w:outlineLvl w:val="7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9" w:type="paragraph">
    <w:name w:val="Heading 9"/>
    <w:basedOn w:val="Normal"/>
    <w:next w:val="BodyText"/>
    <w:uiPriority w:val="9"/>
    <w:unhideWhenUsed/>
    <w:qFormat/>
    <w:pPr>
      <w:keepNext/>
      <w:keepLines/>
      <w:spacing w:after="0" w:before="200"/>
      <w:outlineLvl w:val="8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vAlign w:val="bottom"/>
        <w:tcBorders>
          <w:bottom w:val="single"/>
        </w:tcBorders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color w:val="007020"/>
      <w:b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color w:val="008000"/>
      <w:b/>
    </w:rPr>
  </w:style>
  <w:style w:type="character" w:customStyle="1" w:styleId="CommentTok">
    <w:name w:val="CommentTok"/>
    <w:basedOn w:val="VerbatimChar"/>
    <w:rPr>
      <w:color w:val="60a0b0"/>
      <w:i/>
    </w:rPr>
  </w:style>
  <w:style w:type="character" w:customStyle="1" w:styleId="DocumentationTok">
    <w:name w:val="DocumentationTok"/>
    <w:basedOn w:val="VerbatimChar"/>
    <w:rPr>
      <w:color w:val="ba2121"/>
      <w:i/>
    </w:rPr>
  </w:style>
  <w:style w:type="character" w:customStyle="1" w:styleId="AnnotationTok">
    <w:name w:val="AnnotationTok"/>
    <w:basedOn w:val="VerbatimChar"/>
    <w:rPr>
      <w:color w:val="60a0b0"/>
      <w:b/>
      <w:i/>
    </w:rPr>
  </w:style>
  <w:style w:type="character" w:customStyle="1" w:styleId="CommentVarTok">
    <w:name w:val="CommentVarTok"/>
    <w:basedOn w:val="VerbatimChar"/>
    <w:rPr>
      <w:color w:val="60a0b0"/>
      <w:b/>
      <w:i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color w:val="007020"/>
      <w:b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color w:val="60a0b0"/>
      <w:b/>
      <w:i/>
    </w:rPr>
  </w:style>
  <w:style w:type="character" w:customStyle="1" w:styleId="WarningTok">
    <w:name w:val="WarningTok"/>
    <w:basedOn w:val="VerbatimChar"/>
    <w:rPr>
      <w:color w:val="60a0b0"/>
      <w:b/>
      <w:i/>
    </w:rPr>
  </w:style>
  <w:style w:type="character" w:customStyle="1" w:styleId="AlertTok">
    <w:name w:val="AlertTok"/>
    <w:basedOn w:val="VerbatimChar"/>
    <w:rPr>
      <w:color w:val="ff0000"/>
      <w:b/>
    </w:rPr>
  </w:style>
  <w:style w:type="character" w:customStyle="1" w:styleId="ErrorTok">
    <w:name w:val="ErrorTok"/>
    <w:basedOn w:val="VerbatimChar"/>
    <w:rPr>
      <w:color w:val="ff0000"/>
      <w:b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2026-01-12T14:07:22Z</dcterms:created>
  <dcterms:modified xsi:type="dcterms:W3CDTF">2026-01-12T14:07:22Z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